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1B3F" w:rsidRDefault="00A2432C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</w:p>
    <w:p w:rsidR="00401B3F" w:rsidRPr="00315CD8" w:rsidRDefault="009F081F" w:rsidP="009D7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A1705" w:rsidRPr="007A1705">
        <w:rPr>
          <w:rFonts w:ascii="Times New Roman" w:hAnsi="Times New Roman" w:cs="Times New Roman"/>
          <w:b/>
          <w:bCs/>
          <w:sz w:val="28"/>
          <w:szCs w:val="28"/>
        </w:rPr>
        <w:t>Объединение генеральных подрядчиков в строительстве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C91CAE" w:rsidP="00F56B07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116205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F56B07">
      <w:pPr>
        <w:pStyle w:val="a4"/>
        <w:spacing w:before="0" w:beforeAutospacing="0" w:after="120" w:afterAutospacing="0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="00F56B07">
        <w:rPr>
          <w:b/>
          <w:bCs/>
          <w:sz w:val="28"/>
          <w:szCs w:val="28"/>
        </w:rPr>
        <w:t>:</w:t>
      </w:r>
    </w:p>
    <w:p w:rsidR="00A40D99" w:rsidRPr="007273C1" w:rsidRDefault="00401B3F" w:rsidP="00A2432C">
      <w:pPr>
        <w:pStyle w:val="a4"/>
        <w:ind w:left="4395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 xml:space="preserve">Решением </w:t>
      </w:r>
      <w:r w:rsidR="00860C84">
        <w:rPr>
          <w:bCs/>
          <w:color w:val="000000" w:themeColor="text1"/>
          <w:sz w:val="28"/>
          <w:szCs w:val="28"/>
        </w:rPr>
        <w:t>Правления</w:t>
      </w:r>
      <w:r w:rsidRPr="007273C1">
        <w:rPr>
          <w:bCs/>
          <w:color w:val="000000" w:themeColor="text1"/>
          <w:sz w:val="28"/>
          <w:szCs w:val="28"/>
        </w:rPr>
        <w:t xml:space="preserve"> </w:t>
      </w:r>
    </w:p>
    <w:p w:rsidR="00401B3F" w:rsidRPr="007273C1" w:rsidRDefault="00401B3F" w:rsidP="00F56B07">
      <w:pPr>
        <w:pStyle w:val="a4"/>
        <w:spacing w:before="0" w:beforeAutospacing="0" w:after="0" w:afterAutospacing="0"/>
        <w:ind w:left="4394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>Протокол от «</w:t>
      </w:r>
      <w:r w:rsidR="003135FC">
        <w:rPr>
          <w:bCs/>
          <w:color w:val="000000" w:themeColor="text1"/>
          <w:sz w:val="28"/>
          <w:szCs w:val="28"/>
        </w:rPr>
        <w:t>22</w:t>
      </w:r>
      <w:bookmarkStart w:id="0" w:name="_GoBack"/>
      <w:bookmarkEnd w:id="0"/>
      <w:r w:rsidRPr="007273C1">
        <w:rPr>
          <w:bCs/>
          <w:color w:val="000000" w:themeColor="text1"/>
          <w:sz w:val="28"/>
          <w:szCs w:val="28"/>
        </w:rPr>
        <w:t xml:space="preserve">» </w:t>
      </w:r>
      <w:r w:rsidR="006B5CFD">
        <w:rPr>
          <w:bCs/>
          <w:color w:val="000000" w:themeColor="text1"/>
          <w:sz w:val="28"/>
          <w:szCs w:val="28"/>
        </w:rPr>
        <w:t>апреля</w:t>
      </w:r>
      <w:r w:rsidR="00A2432C" w:rsidRPr="007273C1">
        <w:rPr>
          <w:bCs/>
          <w:color w:val="000000" w:themeColor="text1"/>
          <w:sz w:val="28"/>
          <w:szCs w:val="28"/>
        </w:rPr>
        <w:t xml:space="preserve"> 201</w:t>
      </w:r>
      <w:r w:rsidR="006B5CFD">
        <w:rPr>
          <w:bCs/>
          <w:color w:val="000000" w:themeColor="text1"/>
          <w:sz w:val="28"/>
          <w:szCs w:val="28"/>
        </w:rPr>
        <w:t>9</w:t>
      </w:r>
      <w:r w:rsidRPr="007273C1">
        <w:rPr>
          <w:bCs/>
          <w:color w:val="000000" w:themeColor="text1"/>
          <w:sz w:val="28"/>
          <w:szCs w:val="28"/>
        </w:rPr>
        <w:t xml:space="preserve"> г</w:t>
      </w:r>
      <w:r w:rsidR="00E37F7C" w:rsidRPr="007273C1">
        <w:rPr>
          <w:bCs/>
          <w:color w:val="000000" w:themeColor="text1"/>
          <w:sz w:val="28"/>
          <w:szCs w:val="28"/>
        </w:rPr>
        <w:t>.</w:t>
      </w:r>
      <w:r w:rsidRPr="007273C1">
        <w:rPr>
          <w:bCs/>
          <w:color w:val="000000" w:themeColor="text1"/>
          <w:sz w:val="28"/>
          <w:szCs w:val="28"/>
        </w:rPr>
        <w:t xml:space="preserve"> № </w:t>
      </w:r>
      <w:r w:rsidR="00B1656E">
        <w:rPr>
          <w:bCs/>
          <w:color w:val="000000" w:themeColor="text1"/>
          <w:sz w:val="28"/>
          <w:szCs w:val="28"/>
        </w:rPr>
        <w:t>197</w:t>
      </w:r>
    </w:p>
    <w:p w:rsidR="00401B3F" w:rsidRPr="00C030C5" w:rsidRDefault="00401B3F" w:rsidP="00F56B07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5A410F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E37F7C" w:rsidRDefault="00A2432C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9D71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</w:t>
      </w:r>
      <w:r w:rsidR="007A1705" w:rsidRPr="007A1705">
        <w:rPr>
          <w:rFonts w:ascii="Times New Roman" w:hAnsi="Times New Roman" w:cs="Times New Roman"/>
          <w:b/>
          <w:bCs/>
          <w:sz w:val="28"/>
          <w:szCs w:val="28"/>
        </w:rPr>
        <w:t>Объединение генеральных подрядчиков в строительстве</w:t>
      </w:r>
      <w:r w:rsidRPr="00E37F7C">
        <w:rPr>
          <w:rFonts w:ascii="Times New Roman" w:hAnsi="Times New Roman"/>
          <w:b/>
          <w:sz w:val="28"/>
          <w:szCs w:val="28"/>
        </w:rPr>
        <w:t>»</w:t>
      </w:r>
    </w:p>
    <w:p w:rsidR="001F344B" w:rsidRDefault="001F344B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48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="007A1705">
        <w:rPr>
          <w:rFonts w:ascii="Times New Roman" w:hAnsi="Times New Roman"/>
          <w:b/>
          <w:sz w:val="28"/>
          <w:szCs w:val="28"/>
        </w:rPr>
        <w:t>Москва</w:t>
      </w:r>
      <w:r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6C0485" w:rsidRDefault="007273C1" w:rsidP="00401B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6B5CFD">
        <w:rPr>
          <w:rFonts w:ascii="Times New Roman" w:hAnsi="Times New Roman"/>
          <w:b/>
          <w:sz w:val="28"/>
          <w:szCs w:val="28"/>
        </w:rPr>
        <w:t>9</w:t>
      </w:r>
      <w:r w:rsidR="00401B3F" w:rsidRPr="006C0485">
        <w:rPr>
          <w:rFonts w:ascii="Times New Roman" w:hAnsi="Times New Roman"/>
          <w:b/>
          <w:sz w:val="28"/>
          <w:szCs w:val="28"/>
        </w:rPr>
        <w:t xml:space="preserve"> г.</w:t>
      </w:r>
    </w:p>
    <w:p w:rsidR="00E37F7C" w:rsidRDefault="00E37F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1781" w:rsidRPr="00A812B6" w:rsidRDefault="00E41781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E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 xml:space="preserve">тандарта организации – ГОСТ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1.4–2004 «Стандартизация в Российской Федерации. Стандарты организаций. Общие положения».</w:t>
      </w:r>
    </w:p>
    <w:p w:rsidR="00E41781" w:rsidRPr="00E7262C" w:rsidRDefault="00E41781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E41781" w:rsidRPr="00750C68" w:rsidRDefault="00E41781" w:rsidP="005E475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2B454D" w:rsidRPr="002B454D"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Объединение генеральных подрядчиков в строительстве</w:t>
      </w:r>
      <w:r w:rsidR="005E475F" w:rsidRPr="0062516C">
        <w:rPr>
          <w:rFonts w:ascii="Times New Roman" w:hAnsi="Times New Roman" w:cs="Times New Roman"/>
          <w:sz w:val="28"/>
          <w:szCs w:val="28"/>
        </w:rPr>
        <w:t>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="00A2432C">
        <w:rPr>
          <w:rFonts w:ascii="Times New Roman" w:hAnsi="Times New Roman" w:cs="Times New Roman"/>
          <w:sz w:val="28"/>
          <w:szCs w:val="28"/>
        </w:rPr>
        <w:t>Ассоциация</w:t>
      </w:r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</w:t>
      </w:r>
      <w:proofErr w:type="gramEnd"/>
      <w:r w:rsidR="0019064F">
        <w:rPr>
          <w:rFonts w:ascii="Times New Roman" w:hAnsi="Times New Roman" w:cs="Times New Roman"/>
          <w:sz w:val="28"/>
          <w:szCs w:val="28"/>
        </w:rPr>
        <w:t xml:space="preserve"> работников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 xml:space="preserve">, подлежащих аттестации по правилам, устанавливаемым </w:t>
      </w:r>
      <w:proofErr w:type="spellStart"/>
      <w:r w:rsidR="0021278F" w:rsidRPr="0021278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Pr="001B501A" w:rsidRDefault="00E41781" w:rsidP="001B501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E37F7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9B09C4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Pr="00E37F7C" w:rsidRDefault="00E41781" w:rsidP="00E37F7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636717" w:rsidRDefault="00E41781" w:rsidP="00750C6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lastRenderedPageBreak/>
        <w:t>В настоящем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6B2EC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6B2ECB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636717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строительства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9D6" w:rsidRDefault="006919D6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9B4551">
        <w:rPr>
          <w:rFonts w:ascii="Times New Roman" w:hAnsi="Times New Roman" w:cs="Times New Roman"/>
          <w:sz w:val="28"/>
          <w:szCs w:val="28"/>
        </w:rPr>
        <w:t xml:space="preserve"> – заказчик;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proofErr w:type="gramStart"/>
      <w:r w:rsidR="00014AD8">
        <w:rPr>
          <w:rFonts w:ascii="Times New Roman" w:hAnsi="Times New Roman" w:cs="Times New Roman"/>
          <w:b/>
          <w:sz w:val="28"/>
          <w:szCs w:val="28"/>
        </w:rPr>
        <w:t>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proofErr w:type="gramEnd"/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6919D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4E0A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случае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C915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09C" w:rsidRPr="00D20A93" w:rsidRDefault="003F509C" w:rsidP="00D0591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</w:t>
      </w:r>
      <w:r w:rsidR="005F6E8C">
        <w:rPr>
          <w:rFonts w:ascii="Times New Roman" w:hAnsi="Times New Roman" w:cs="Times New Roman"/>
          <w:sz w:val="28"/>
          <w:szCs w:val="28"/>
        </w:rPr>
        <w:t>, снос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83" w:rsidRDefault="00F710C0" w:rsidP="00C872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>в соответствии с порядком ведения общего и (или) специального журнала учета выполнения работ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EB7B02">
        <w:rPr>
          <w:rFonts w:ascii="Times New Roman" w:hAnsi="Times New Roman" w:cs="Times New Roman"/>
          <w:sz w:val="28"/>
          <w:szCs w:val="28"/>
        </w:rPr>
        <w:t xml:space="preserve">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  <w:r w:rsidR="00EB7B02" w:rsidRPr="00E4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781" w:rsidRDefault="00E41781" w:rsidP="001D4C1F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D4C1F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33EAF">
      <w:pPr>
        <w:pStyle w:val="a3"/>
        <w:numPr>
          <w:ilvl w:val="1"/>
          <w:numId w:val="1"/>
        </w:numPr>
        <w:tabs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CE" w:rsidRPr="00321FCE" w:rsidRDefault="00321FCE" w:rsidP="0084402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>Для осуществления работ по организации строительства, реконструкции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321FCE">
        <w:rPr>
          <w:rFonts w:ascii="Times New Roman" w:hAnsi="Times New Roman" w:cs="Times New Roman"/>
          <w:sz w:val="28"/>
          <w:szCs w:val="28"/>
        </w:rPr>
        <w:t xml:space="preserve">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D6A7F">
        <w:rPr>
          <w:rFonts w:ascii="Times New Roman" w:hAnsi="Times New Roman" w:cs="Times New Roman"/>
          <w:sz w:val="28"/>
          <w:szCs w:val="28"/>
        </w:rPr>
        <w:t xml:space="preserve">быть членом  саморегулируемой организации. </w:t>
      </w:r>
    </w:p>
    <w:p w:rsidR="00E41781" w:rsidRPr="00E41781" w:rsidRDefault="00E41781" w:rsidP="007952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</w:p>
    <w:p w:rsidR="00E41781" w:rsidRPr="00E41781" w:rsidRDefault="00E41781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</w:t>
      </w:r>
      <w:r w:rsidRPr="00E4178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proofErr w:type="gramStart"/>
      <w:r w:rsidR="0084402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2705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r w:rsidR="001A4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="001A4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lastRenderedPageBreak/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3E652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</w:p>
    <w:p w:rsidR="00734A0C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proofErr w:type="gramStart"/>
      <w:r w:rsidR="001C54CA" w:rsidRPr="001C54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C54CA" w:rsidRPr="001C54CA">
        <w:rPr>
          <w:rFonts w:ascii="Times New Roman" w:hAnsi="Times New Roman" w:cs="Times New Roman"/>
          <w:sz w:val="28"/>
          <w:szCs w:val="28"/>
        </w:rPr>
        <w:t xml:space="preserve">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комплексном опробовании оборудования;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>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Pr="00E41781" w:rsidRDefault="0061224A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определенные в договоре подряда. </w:t>
      </w:r>
    </w:p>
    <w:p w:rsidR="00E41781" w:rsidRPr="00F832B7" w:rsidRDefault="00E41781" w:rsidP="00363B40">
      <w:pPr>
        <w:pStyle w:val="a3"/>
        <w:numPr>
          <w:ilvl w:val="0"/>
          <w:numId w:val="1"/>
        </w:numPr>
        <w:tabs>
          <w:tab w:val="left" w:pos="851"/>
        </w:tabs>
        <w:spacing w:before="240" w:after="24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734A0C" w:rsidRPr="002A49BF" w:rsidRDefault="002A49BF" w:rsidP="002A49B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DF" w:rsidRDefault="00E41781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</w:t>
      </w:r>
      <w:r w:rsidR="005F6E8C">
        <w:rPr>
          <w:rFonts w:ascii="Times New Roman" w:hAnsi="Times New Roman" w:cs="Times New Roman"/>
          <w:sz w:val="28"/>
          <w:szCs w:val="28"/>
        </w:rPr>
        <w:t>, сноса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BD05A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lastRenderedPageBreak/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proofErr w:type="gramStart"/>
      <w:r w:rsidR="00873F1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73F18">
        <w:rPr>
          <w:rFonts w:ascii="Times New Roman" w:hAnsi="Times New Roman" w:cs="Times New Roman"/>
          <w:sz w:val="28"/>
          <w:szCs w:val="28"/>
        </w:rPr>
        <w:t xml:space="preserve">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BC8" w:rsidRDefault="001E45D2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</w:t>
      </w:r>
      <w:r w:rsidR="005F6E8C">
        <w:rPr>
          <w:rFonts w:ascii="Times New Roman" w:hAnsi="Times New Roman" w:cs="Times New Roman"/>
          <w:sz w:val="28"/>
          <w:szCs w:val="28"/>
        </w:rPr>
        <w:t>, сноса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7AF3" w:rsidRPr="00446CDF" w:rsidRDefault="00037AF3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lastRenderedPageBreak/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8929B2" w:rsidRDefault="008929B2" w:rsidP="004D08DD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A2432C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DE45D0">
      <w:pPr>
        <w:tabs>
          <w:tab w:val="left" w:pos="851"/>
        </w:tabs>
        <w:spacing w:after="120" w:line="240" w:lineRule="auto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>, выполняющих СМР по строительству, реконструкции, капитальному ремонту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4D08DD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="007D1589">
        <w:rPr>
          <w:rFonts w:ascii="Times New Roman" w:hAnsi="Times New Roman" w:cs="Times New Roman"/>
          <w:sz w:val="28"/>
          <w:szCs w:val="28"/>
        </w:rPr>
        <w:t xml:space="preserve"> 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7D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873F18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соответствующей квалификации для выполнения СМР на ОКС;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F0F7A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proofErr w:type="gramStart"/>
      <w:r w:rsidR="006B2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Вопросы прохождения аттестации (в том числе периодичность и сроки прохождения) персонала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регламентируются приказами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0B38B7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 xml:space="preserve">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>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lastRenderedPageBreak/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разработать и утвердить график прохождения повышения квалификации и аттестации по правилам, устанавливаемым </w:t>
      </w:r>
      <w:proofErr w:type="spellStart"/>
      <w:r w:rsidRPr="000B38B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0B38B7">
        <w:rPr>
          <w:rFonts w:ascii="Times New Roman" w:hAnsi="Times New Roman" w:cs="Times New Roman"/>
          <w:sz w:val="28"/>
          <w:szCs w:val="28"/>
        </w:rPr>
        <w:t>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</w:p>
    <w:p w:rsidR="00157618" w:rsidRPr="00360FDF" w:rsidRDefault="00BB046E" w:rsidP="0015761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C210EC" w:rsidRDefault="00C210EC" w:rsidP="00302E6E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73017E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C17CCE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AA4734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D05BC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B671F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226B4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3C134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42">
        <w:rPr>
          <w:rFonts w:ascii="Times New Roman" w:hAnsi="Times New Roman" w:cs="Times New Roman"/>
          <w:sz w:val="28"/>
          <w:szCs w:val="28"/>
        </w:rPr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  <w:proofErr w:type="gramEnd"/>
    </w:p>
    <w:p w:rsidR="006A25F2" w:rsidRDefault="006A25F2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2D4CF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9D7146" w:rsidRPr="009D7146" w:rsidRDefault="0037590C" w:rsidP="009D714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FC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D4C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4CFC">
        <w:rPr>
          <w:rFonts w:ascii="Times New Roman" w:hAnsi="Times New Roman" w:cs="Times New Roman"/>
          <w:sz w:val="28"/>
          <w:szCs w:val="28"/>
        </w:rPr>
        <w:t xml:space="preserve">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</w:p>
    <w:p w:rsidR="009D7146" w:rsidRDefault="009D7146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1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46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146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Pr="009D7146">
        <w:rPr>
          <w:rFonts w:ascii="Times New Roman" w:hAnsi="Times New Roman" w:cs="Times New Roman"/>
          <w:sz w:val="28"/>
          <w:szCs w:val="28"/>
        </w:rPr>
        <w:t>упает в силу не ранее дня внесения сведений о нем в государственный реестр саморегулируемых организаций.</w:t>
      </w:r>
    </w:p>
    <w:p w:rsidR="009D7146" w:rsidRP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D714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Pr="009D7146">
        <w:rPr>
          <w:rFonts w:ascii="Times New Roman" w:hAnsi="Times New Roman" w:cs="Times New Roman"/>
          <w:sz w:val="28"/>
          <w:szCs w:val="28"/>
        </w:rPr>
        <w:t xml:space="preserve">В случае если законами и иными нормативными актами Российской Федерации установлены иные правила, чем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тандартом, то применяются правила, установленные законами и иными нормативными актами Российской Федерации.</w:t>
      </w:r>
    </w:p>
    <w:p w:rsidR="00814B26" w:rsidRDefault="00814B26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4B26" w:rsidSect="00E767DE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97" w:rsidRDefault="00F75497" w:rsidP="00E7262C">
      <w:pPr>
        <w:spacing w:after="0" w:line="240" w:lineRule="auto"/>
      </w:pPr>
      <w:r>
        <w:separator/>
      </w:r>
    </w:p>
  </w:endnote>
  <w:endnote w:type="continuationSeparator" w:id="0">
    <w:p w:rsidR="00F75497" w:rsidRDefault="00F75497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4458C3">
        <w:pPr>
          <w:pStyle w:val="a7"/>
          <w:jc w:val="right"/>
        </w:pPr>
        <w:r>
          <w:fldChar w:fldCharType="begin"/>
        </w:r>
        <w:r w:rsidR="00C35AAA">
          <w:instrText>PAGE   \* MERGEFORMAT</w:instrText>
        </w:r>
        <w:r>
          <w:fldChar w:fldCharType="separate"/>
        </w:r>
        <w:r w:rsidR="003135F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97" w:rsidRDefault="00F75497" w:rsidP="00E7262C">
      <w:pPr>
        <w:spacing w:after="0" w:line="240" w:lineRule="auto"/>
      </w:pPr>
      <w:r>
        <w:separator/>
      </w:r>
    </w:p>
  </w:footnote>
  <w:footnote w:type="continuationSeparator" w:id="0">
    <w:p w:rsidR="00F75497" w:rsidRDefault="00F75497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4AD8"/>
    <w:rsid w:val="00030F60"/>
    <w:rsid w:val="000369C1"/>
    <w:rsid w:val="00037AF3"/>
    <w:rsid w:val="0004146B"/>
    <w:rsid w:val="00056386"/>
    <w:rsid w:val="000657AF"/>
    <w:rsid w:val="000715DB"/>
    <w:rsid w:val="00074946"/>
    <w:rsid w:val="00090E4D"/>
    <w:rsid w:val="000B38B7"/>
    <w:rsid w:val="000C0FA8"/>
    <w:rsid w:val="000C664E"/>
    <w:rsid w:val="000D667D"/>
    <w:rsid w:val="000D6C9C"/>
    <w:rsid w:val="000E558B"/>
    <w:rsid w:val="000F2260"/>
    <w:rsid w:val="000F3B8F"/>
    <w:rsid w:val="001076D9"/>
    <w:rsid w:val="001126C0"/>
    <w:rsid w:val="00115D27"/>
    <w:rsid w:val="00127059"/>
    <w:rsid w:val="00133EAF"/>
    <w:rsid w:val="00134C88"/>
    <w:rsid w:val="001355A0"/>
    <w:rsid w:val="001547DB"/>
    <w:rsid w:val="001549A6"/>
    <w:rsid w:val="00157618"/>
    <w:rsid w:val="00165771"/>
    <w:rsid w:val="0019064F"/>
    <w:rsid w:val="001A0C02"/>
    <w:rsid w:val="001A4BBE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6F2A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B454D"/>
    <w:rsid w:val="002D4C00"/>
    <w:rsid w:val="002D4CFC"/>
    <w:rsid w:val="002D63FC"/>
    <w:rsid w:val="002D6A7F"/>
    <w:rsid w:val="002E3D2B"/>
    <w:rsid w:val="002F0DBA"/>
    <w:rsid w:val="002F3AFC"/>
    <w:rsid w:val="00302E6E"/>
    <w:rsid w:val="003059DD"/>
    <w:rsid w:val="003135FC"/>
    <w:rsid w:val="00315503"/>
    <w:rsid w:val="00320DC7"/>
    <w:rsid w:val="00321FCE"/>
    <w:rsid w:val="003348EC"/>
    <w:rsid w:val="00360FDF"/>
    <w:rsid w:val="00363B40"/>
    <w:rsid w:val="003642A7"/>
    <w:rsid w:val="00364305"/>
    <w:rsid w:val="00367A1F"/>
    <w:rsid w:val="003714D3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E0D4B"/>
    <w:rsid w:val="003E526E"/>
    <w:rsid w:val="003E6529"/>
    <w:rsid w:val="003F17C6"/>
    <w:rsid w:val="003F1A45"/>
    <w:rsid w:val="003F509C"/>
    <w:rsid w:val="00401B3F"/>
    <w:rsid w:val="00405C9A"/>
    <w:rsid w:val="004128E0"/>
    <w:rsid w:val="00420104"/>
    <w:rsid w:val="004235B9"/>
    <w:rsid w:val="00430339"/>
    <w:rsid w:val="004404D6"/>
    <w:rsid w:val="004458C3"/>
    <w:rsid w:val="00446CDF"/>
    <w:rsid w:val="00474002"/>
    <w:rsid w:val="00475963"/>
    <w:rsid w:val="004777E8"/>
    <w:rsid w:val="00480B60"/>
    <w:rsid w:val="00493F7E"/>
    <w:rsid w:val="00497F9B"/>
    <w:rsid w:val="004A36C5"/>
    <w:rsid w:val="004D08DD"/>
    <w:rsid w:val="004E0A1B"/>
    <w:rsid w:val="004F0CA6"/>
    <w:rsid w:val="004F3AFB"/>
    <w:rsid w:val="00506478"/>
    <w:rsid w:val="00507567"/>
    <w:rsid w:val="00513F7B"/>
    <w:rsid w:val="0052259E"/>
    <w:rsid w:val="00523A0A"/>
    <w:rsid w:val="00537558"/>
    <w:rsid w:val="005432D9"/>
    <w:rsid w:val="00543BEF"/>
    <w:rsid w:val="00543EE9"/>
    <w:rsid w:val="00550B41"/>
    <w:rsid w:val="00564181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5F6E8C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84FCF"/>
    <w:rsid w:val="006902D8"/>
    <w:rsid w:val="006919D6"/>
    <w:rsid w:val="006A048E"/>
    <w:rsid w:val="006A21A3"/>
    <w:rsid w:val="006A21B8"/>
    <w:rsid w:val="006A25F2"/>
    <w:rsid w:val="006B2ECB"/>
    <w:rsid w:val="006B2F7D"/>
    <w:rsid w:val="006B4FEA"/>
    <w:rsid w:val="006B5CFD"/>
    <w:rsid w:val="006B648D"/>
    <w:rsid w:val="006B7198"/>
    <w:rsid w:val="006C0485"/>
    <w:rsid w:val="006D6E7F"/>
    <w:rsid w:val="006E3072"/>
    <w:rsid w:val="006E5381"/>
    <w:rsid w:val="00703D89"/>
    <w:rsid w:val="00706CD6"/>
    <w:rsid w:val="0071026D"/>
    <w:rsid w:val="00712AB4"/>
    <w:rsid w:val="00726A72"/>
    <w:rsid w:val="007273C1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3054"/>
    <w:rsid w:val="007952F3"/>
    <w:rsid w:val="00797CF5"/>
    <w:rsid w:val="007A1705"/>
    <w:rsid w:val="007C2348"/>
    <w:rsid w:val="007C5A21"/>
    <w:rsid w:val="007D069C"/>
    <w:rsid w:val="007D1589"/>
    <w:rsid w:val="007D3511"/>
    <w:rsid w:val="007D52FA"/>
    <w:rsid w:val="007D7986"/>
    <w:rsid w:val="007E43C6"/>
    <w:rsid w:val="007E74A9"/>
    <w:rsid w:val="007F1F16"/>
    <w:rsid w:val="007F6728"/>
    <w:rsid w:val="00801078"/>
    <w:rsid w:val="0080483C"/>
    <w:rsid w:val="00814B26"/>
    <w:rsid w:val="0082229E"/>
    <w:rsid w:val="00827859"/>
    <w:rsid w:val="00831562"/>
    <w:rsid w:val="008403ED"/>
    <w:rsid w:val="0084402A"/>
    <w:rsid w:val="00860C84"/>
    <w:rsid w:val="00873F18"/>
    <w:rsid w:val="00882FF7"/>
    <w:rsid w:val="00884CFD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7675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A5779"/>
    <w:rsid w:val="009A6CDE"/>
    <w:rsid w:val="009B09C4"/>
    <w:rsid w:val="009B4551"/>
    <w:rsid w:val="009D15BA"/>
    <w:rsid w:val="009D5DA5"/>
    <w:rsid w:val="009D7146"/>
    <w:rsid w:val="009D7F7F"/>
    <w:rsid w:val="009F01A5"/>
    <w:rsid w:val="009F081F"/>
    <w:rsid w:val="009F6608"/>
    <w:rsid w:val="00A00D3F"/>
    <w:rsid w:val="00A035BA"/>
    <w:rsid w:val="00A2432C"/>
    <w:rsid w:val="00A25A22"/>
    <w:rsid w:val="00A31399"/>
    <w:rsid w:val="00A379B6"/>
    <w:rsid w:val="00A40D99"/>
    <w:rsid w:val="00A436CB"/>
    <w:rsid w:val="00A45F32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95C5C"/>
    <w:rsid w:val="00AA4734"/>
    <w:rsid w:val="00AA7C8A"/>
    <w:rsid w:val="00AC3FFD"/>
    <w:rsid w:val="00AE4D66"/>
    <w:rsid w:val="00AF01C1"/>
    <w:rsid w:val="00AF6AC8"/>
    <w:rsid w:val="00B018EE"/>
    <w:rsid w:val="00B02255"/>
    <w:rsid w:val="00B1656E"/>
    <w:rsid w:val="00B165DC"/>
    <w:rsid w:val="00B369C5"/>
    <w:rsid w:val="00B533D9"/>
    <w:rsid w:val="00B55CB4"/>
    <w:rsid w:val="00B56AA6"/>
    <w:rsid w:val="00B671FF"/>
    <w:rsid w:val="00B90387"/>
    <w:rsid w:val="00BA10AC"/>
    <w:rsid w:val="00BA4B4A"/>
    <w:rsid w:val="00BB046E"/>
    <w:rsid w:val="00BB41E2"/>
    <w:rsid w:val="00BC595F"/>
    <w:rsid w:val="00BD05A9"/>
    <w:rsid w:val="00BD6D15"/>
    <w:rsid w:val="00BF0C40"/>
    <w:rsid w:val="00BF3E3F"/>
    <w:rsid w:val="00C030C5"/>
    <w:rsid w:val="00C10827"/>
    <w:rsid w:val="00C17CCE"/>
    <w:rsid w:val="00C210EC"/>
    <w:rsid w:val="00C354AE"/>
    <w:rsid w:val="00C35AAA"/>
    <w:rsid w:val="00C404E1"/>
    <w:rsid w:val="00C46BB7"/>
    <w:rsid w:val="00C51B74"/>
    <w:rsid w:val="00C53D3B"/>
    <w:rsid w:val="00C618B9"/>
    <w:rsid w:val="00C64B9B"/>
    <w:rsid w:val="00C731F9"/>
    <w:rsid w:val="00C87238"/>
    <w:rsid w:val="00C9151B"/>
    <w:rsid w:val="00C91CAE"/>
    <w:rsid w:val="00C964B2"/>
    <w:rsid w:val="00CA350C"/>
    <w:rsid w:val="00CB46F6"/>
    <w:rsid w:val="00CD5D56"/>
    <w:rsid w:val="00CE0650"/>
    <w:rsid w:val="00CF7913"/>
    <w:rsid w:val="00CF7D12"/>
    <w:rsid w:val="00D04C97"/>
    <w:rsid w:val="00D05917"/>
    <w:rsid w:val="00D05BC8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93C15"/>
    <w:rsid w:val="00EA2975"/>
    <w:rsid w:val="00EA5340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EF4D17"/>
    <w:rsid w:val="00F05A90"/>
    <w:rsid w:val="00F12ECB"/>
    <w:rsid w:val="00F34244"/>
    <w:rsid w:val="00F5365D"/>
    <w:rsid w:val="00F54040"/>
    <w:rsid w:val="00F56B07"/>
    <w:rsid w:val="00F60018"/>
    <w:rsid w:val="00F6471A"/>
    <w:rsid w:val="00F704DC"/>
    <w:rsid w:val="00F710C0"/>
    <w:rsid w:val="00F7288F"/>
    <w:rsid w:val="00F72F34"/>
    <w:rsid w:val="00F75497"/>
    <w:rsid w:val="00F832B7"/>
    <w:rsid w:val="00F87D2F"/>
    <w:rsid w:val="00FA39DF"/>
    <w:rsid w:val="00FA4C3A"/>
    <w:rsid w:val="00FB4E65"/>
    <w:rsid w:val="00FC18D0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923B-AD1C-4ADE-86AC-02047653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a.erofeev</dc:creator>
  <cp:lastModifiedBy>Александр О. Ролин</cp:lastModifiedBy>
  <cp:revision>9</cp:revision>
  <cp:lastPrinted>2019-04-18T08:46:00Z</cp:lastPrinted>
  <dcterms:created xsi:type="dcterms:W3CDTF">2019-04-09T13:26:00Z</dcterms:created>
  <dcterms:modified xsi:type="dcterms:W3CDTF">2019-04-18T08:46:00Z</dcterms:modified>
</cp:coreProperties>
</file>