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BD2572" w:rsidRDefault="00727C14" w:rsidP="00BD218F">
      <w:pPr>
        <w:spacing w:line="240" w:lineRule="auto"/>
        <w:jc w:val="center"/>
        <w:rPr>
          <w:rFonts w:ascii="Times New Roman" w:eastAsia="Times New Roman" w:hAnsi="Times New Roman" w:cs="Times New Roman"/>
          <w:bCs/>
          <w:color w:val="auto"/>
          <w:sz w:val="30"/>
          <w:szCs w:val="30"/>
          <w:lang w:eastAsia="ru-RU"/>
        </w:rPr>
      </w:pPr>
      <w:r w:rsidRPr="00BD2572">
        <w:rPr>
          <w:rFonts w:ascii="Times New Roman" w:eastAsia="Times New Roman" w:hAnsi="Times New Roman" w:cs="Times New Roman"/>
          <w:bCs/>
          <w:color w:val="auto"/>
          <w:sz w:val="30"/>
          <w:szCs w:val="30"/>
          <w:lang w:eastAsia="ru-RU"/>
        </w:rPr>
        <w:t>АССОЦИАЦИЯ</w:t>
      </w:r>
    </w:p>
    <w:p w:rsidR="00BD2572" w:rsidRPr="00BD2572" w:rsidRDefault="00BD218F" w:rsidP="002F75E0">
      <w:pPr>
        <w:spacing w:line="240" w:lineRule="auto"/>
        <w:jc w:val="center"/>
        <w:rPr>
          <w:rFonts w:ascii="Times New Roman" w:eastAsia="Times New Roman" w:hAnsi="Times New Roman" w:cs="Times New Roman"/>
          <w:bCs/>
          <w:color w:val="auto"/>
          <w:sz w:val="30"/>
          <w:szCs w:val="30"/>
          <w:lang w:eastAsia="ru-RU"/>
        </w:rPr>
      </w:pPr>
      <w:r w:rsidRPr="00BD2572">
        <w:rPr>
          <w:rFonts w:ascii="Times New Roman" w:eastAsia="Times New Roman" w:hAnsi="Times New Roman" w:cs="Times New Roman"/>
          <w:bCs/>
          <w:color w:val="auto"/>
          <w:sz w:val="30"/>
          <w:szCs w:val="30"/>
          <w:lang w:eastAsia="ru-RU"/>
        </w:rPr>
        <w:t xml:space="preserve">саморегулируемая организация </w:t>
      </w:r>
    </w:p>
    <w:p w:rsidR="00727C14" w:rsidRPr="00BD2572" w:rsidRDefault="002F75E0" w:rsidP="002F75E0">
      <w:pPr>
        <w:spacing w:line="240" w:lineRule="auto"/>
        <w:jc w:val="center"/>
        <w:rPr>
          <w:rFonts w:ascii="Times New Roman" w:eastAsia="Times New Roman" w:hAnsi="Times New Roman" w:cs="Times New Roman"/>
          <w:color w:val="auto"/>
          <w:sz w:val="30"/>
          <w:szCs w:val="30"/>
          <w:lang w:eastAsia="ru-RU"/>
        </w:rPr>
      </w:pPr>
      <w:r w:rsidRPr="00BD2572">
        <w:rPr>
          <w:rFonts w:ascii="Times New Roman" w:hAnsi="Times New Roman"/>
          <w:sz w:val="30"/>
          <w:szCs w:val="30"/>
        </w:rPr>
        <w:t>«Объединение генеральных подрядчиков в строительстве»</w:t>
      </w:r>
      <w:r w:rsidR="00727C14" w:rsidRPr="00BD2572">
        <w:rPr>
          <w:rFonts w:ascii="Times New Roman" w:eastAsia="Times New Roman" w:hAnsi="Times New Roman" w:cs="Times New Roman"/>
          <w:color w:val="auto"/>
          <w:sz w:val="30"/>
          <w:szCs w:val="30"/>
          <w:lang w:eastAsia="ru-RU"/>
        </w:rPr>
        <w:t xml:space="preserve">                                                                           </w:t>
      </w:r>
    </w:p>
    <w:p w:rsidR="00BD2572"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2F75E0">
        <w:rPr>
          <w:rFonts w:ascii="Times New Roman" w:eastAsia="Times New Roman" w:hAnsi="Times New Roman" w:cs="Times New Roman"/>
          <w:bCs/>
          <w:color w:val="auto"/>
          <w:sz w:val="24"/>
          <w:szCs w:val="24"/>
          <w:lang w:eastAsia="ru-RU"/>
        </w:rPr>
        <w:t>Протокол №</w:t>
      </w:r>
      <w:r w:rsidR="00BD2572">
        <w:rPr>
          <w:rFonts w:ascii="Times New Roman" w:eastAsia="Times New Roman" w:hAnsi="Times New Roman" w:cs="Times New Roman"/>
          <w:bCs/>
          <w:color w:val="auto"/>
          <w:sz w:val="24"/>
          <w:szCs w:val="24"/>
          <w:lang w:eastAsia="ru-RU"/>
        </w:rPr>
        <w:t xml:space="preserve"> </w:t>
      </w:r>
      <w:r w:rsidR="002F75E0" w:rsidRPr="002F75E0">
        <w:rPr>
          <w:rFonts w:ascii="Times New Roman" w:eastAsia="Times New Roman" w:hAnsi="Times New Roman" w:cs="Times New Roman"/>
          <w:bCs/>
          <w:color w:val="auto"/>
          <w:sz w:val="24"/>
          <w:szCs w:val="24"/>
          <w:lang w:eastAsia="ru-RU"/>
        </w:rPr>
        <w:t>24</w:t>
      </w:r>
      <w:r w:rsidRPr="002F75E0">
        <w:rPr>
          <w:rFonts w:ascii="Times New Roman" w:eastAsia="Times New Roman" w:hAnsi="Times New Roman" w:cs="Times New Roman"/>
          <w:bCs/>
          <w:color w:val="auto"/>
          <w:sz w:val="24"/>
          <w:szCs w:val="24"/>
          <w:lang w:eastAsia="ru-RU"/>
        </w:rPr>
        <w:t xml:space="preserve"> от </w:t>
      </w:r>
      <w:r w:rsidR="002F75E0" w:rsidRPr="002F75E0">
        <w:rPr>
          <w:rFonts w:ascii="Times New Roman" w:eastAsia="Times New Roman" w:hAnsi="Times New Roman" w:cs="Times New Roman"/>
          <w:bCs/>
          <w:color w:val="auto"/>
          <w:sz w:val="24"/>
          <w:szCs w:val="24"/>
          <w:lang w:eastAsia="ru-RU"/>
        </w:rPr>
        <w:t>02</w:t>
      </w:r>
      <w:r w:rsidRPr="002F75E0">
        <w:rPr>
          <w:rFonts w:ascii="Times New Roman" w:eastAsia="Times New Roman" w:hAnsi="Times New Roman" w:cs="Times New Roman"/>
          <w:bCs/>
          <w:color w:val="auto"/>
          <w:sz w:val="24"/>
          <w:szCs w:val="24"/>
          <w:lang w:eastAsia="ru-RU"/>
        </w:rPr>
        <w:t>.0</w:t>
      </w:r>
      <w:r w:rsidR="002F75E0" w:rsidRPr="002F75E0">
        <w:rPr>
          <w:rFonts w:ascii="Times New Roman" w:eastAsia="Times New Roman" w:hAnsi="Times New Roman" w:cs="Times New Roman"/>
          <w:bCs/>
          <w:color w:val="auto"/>
          <w:sz w:val="24"/>
          <w:szCs w:val="24"/>
          <w:lang w:eastAsia="ru-RU"/>
        </w:rPr>
        <w:t>4</w:t>
      </w:r>
      <w:r w:rsidRPr="002F75E0">
        <w:rPr>
          <w:rFonts w:ascii="Times New Roman" w:eastAsia="Times New Roman" w:hAnsi="Times New Roman" w:cs="Times New Roman"/>
          <w:bCs/>
          <w:color w:val="auto"/>
          <w:sz w:val="24"/>
          <w:szCs w:val="24"/>
          <w:lang w:eastAsia="ru-RU"/>
        </w:rPr>
        <w:t>.201</w:t>
      </w:r>
      <w:r w:rsidR="002F75E0" w:rsidRPr="002F75E0">
        <w:rPr>
          <w:rFonts w:ascii="Times New Roman" w:eastAsia="Times New Roman" w:hAnsi="Times New Roman" w:cs="Times New Roman"/>
          <w:bCs/>
          <w:color w:val="auto"/>
          <w:sz w:val="24"/>
          <w:szCs w:val="24"/>
          <w:lang w:eastAsia="ru-RU"/>
        </w:rPr>
        <w:t>8</w:t>
      </w:r>
      <w:r w:rsidR="00BD2572">
        <w:rPr>
          <w:rFonts w:ascii="Times New Roman" w:eastAsia="Times New Roman" w:hAnsi="Times New Roman" w:cs="Times New Roman"/>
          <w:bCs/>
          <w:color w:val="auto"/>
          <w:sz w:val="24"/>
          <w:szCs w:val="24"/>
          <w:lang w:eastAsia="ru-RU"/>
        </w:rPr>
        <w:t xml:space="preserve"> года</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2F75E0" w:rsidRPr="002F75E0">
        <w:rPr>
          <w:rFonts w:ascii="Times New Roman" w:hAnsi="Times New Roman"/>
          <w:sz w:val="32"/>
          <w:szCs w:val="32"/>
        </w:rPr>
        <w:t>«Объединение генеральных подрядчиков в строительстве»</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2F75E0" w:rsidP="00012D02">
      <w:pPr>
        <w:jc w:val="center"/>
        <w:rPr>
          <w:rFonts w:ascii="Times New Roman" w:hAnsi="Times New Roman" w:cs="Times New Roman"/>
          <w:b/>
          <w:bCs/>
          <w:sz w:val="28"/>
          <w:szCs w:val="28"/>
        </w:rPr>
      </w:pPr>
      <w:r>
        <w:rPr>
          <w:rFonts w:ascii="Times New Roman" w:hAnsi="Times New Roman" w:cs="Times New Roman"/>
          <w:sz w:val="28"/>
          <w:szCs w:val="28"/>
        </w:rPr>
        <w:t>Москва</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2018</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930EE2">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00930EE2">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00930EE2">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00930EE2">
        <w:rPr>
          <w:noProof/>
          <w:sz w:val="32"/>
          <w:szCs w:val="32"/>
        </w:rPr>
        <w:t>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00930EE2">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00930EE2">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00930EE2">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00930EE2">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00930EE2">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00930EE2">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2F75E0" w:rsidRPr="002F75E0">
        <w:rPr>
          <w:rFonts w:ascii="Times New Roman" w:eastAsia="Times New Roman" w:hAnsi="Times New Roman" w:cs="Times New Roman"/>
          <w:sz w:val="28"/>
          <w:szCs w:val="28"/>
        </w:rPr>
        <w:t>«Объединение генеральных подрядчиков в строительстве»</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2F75E0">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1"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1"/>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2"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rsidRPr="006B4F24">
        <w:rPr>
          <w:rFonts w:ascii="Times New Roman" w:eastAsia="Times New Roman" w:hAnsi="Times New Roman" w:cs="Times New Roman"/>
          <w:sz w:val="28"/>
          <w:szCs w:val="28"/>
        </w:rPr>
        <w:lastRenderedPageBreak/>
        <w:t>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lastRenderedPageBreak/>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3" w:name="_Toc508811102"/>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bookmarkEnd w:id="3"/>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lastRenderedPageBreak/>
        <w:t>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lastRenderedPageBreak/>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4"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4"/>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5"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6"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7"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8"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8"/>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F667C0"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 строительству, реконструкции и 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930EE2">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930EE2">
        <w:rPr>
          <w:rFonts w:ascii="Times New Roman" w:eastAsia="Times New Roman" w:hAnsi="Times New Roman" w:cs="Times New Roman"/>
          <w:b/>
          <w:color w:val="auto"/>
          <w:sz w:val="24"/>
          <w:szCs w:val="24"/>
        </w:rPr>
        <w:t xml:space="preserve">Уведомление </w:t>
      </w:r>
      <w:r>
        <w:rPr>
          <w:rFonts w:ascii="Times New Roman" w:eastAsia="Times New Roman" w:hAnsi="Times New Roman" w:cs="Times New Roman"/>
          <w:b/>
          <w:sz w:val="24"/>
          <w:szCs w:val="24"/>
        </w:rPr>
        <w:t>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930EE2"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930EE2"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bookmarkStart w:id="10" w:name="_GoBack"/>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930EE2" w:rsidP="00336735">
      <w:pPr>
        <w:rPr>
          <w:rFonts w:ascii="Times New Roman" w:hAnsi="Times New Roman" w:cs="Times New Roman"/>
          <w:sz w:val="20"/>
          <w:szCs w:val="20"/>
        </w:rPr>
      </w:pPr>
      <w:r>
        <w:rPr>
          <w:rFonts w:ascii="Times New Roman" w:hAnsi="Times New Roman" w:cs="Times New Roman"/>
          <w:sz w:val="20"/>
          <w:szCs w:val="20"/>
        </w:rPr>
        <w:lastRenderedPageBreak/>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(строительство, реконструкция, капитальный ремонт),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930EE2">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xml:space="preserve">, капитального ремонта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930EE2">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930EE2"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строительного надзора при строительстве, реконструкции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930EE2"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bookmarkEnd w:id="10"/>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EA" w:rsidRDefault="002754EA">
      <w:pPr>
        <w:spacing w:line="240" w:lineRule="auto"/>
      </w:pPr>
      <w:r>
        <w:separator/>
      </w:r>
    </w:p>
  </w:endnote>
  <w:endnote w:type="continuationSeparator" w:id="0">
    <w:p w:rsidR="002754EA" w:rsidRDefault="00275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531AAB" w:rsidRDefault="00531AA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EA" w:rsidRDefault="002754EA">
      <w:pPr>
        <w:spacing w:line="240" w:lineRule="auto"/>
      </w:pPr>
      <w:r>
        <w:separator/>
      </w:r>
    </w:p>
  </w:footnote>
  <w:footnote w:type="continuationSeparator" w:id="0">
    <w:p w:rsidR="002754EA" w:rsidRDefault="002754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31AAB" w:rsidRDefault="00531AAB"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531AAB" w:rsidRDefault="00531AAB"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930EE2" w:rsidRPr="00930EE2">
      <w:rPr>
        <w:noProof/>
        <w:lang w:val="ru-RU"/>
      </w:rPr>
      <w:t>2</w:t>
    </w:r>
    <w:r>
      <w:fldChar w:fldCharType="end"/>
    </w:r>
  </w:p>
  <w:p w:rsidR="00531AAB" w:rsidRDefault="00531AAB"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p>
  <w:p w:rsidR="00531AAB" w:rsidRPr="002F4C90" w:rsidRDefault="00531AAB"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2F4C90" w:rsidRDefault="00531AAB"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F043D"/>
    <w:rsid w:val="002F4C90"/>
    <w:rsid w:val="002F75E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2918"/>
    <w:rsid w:val="00531AAB"/>
    <w:rsid w:val="00531B48"/>
    <w:rsid w:val="0053283A"/>
    <w:rsid w:val="00536EF7"/>
    <w:rsid w:val="00596A9D"/>
    <w:rsid w:val="005A1BAB"/>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23798"/>
    <w:rsid w:val="0092615A"/>
    <w:rsid w:val="00930EE2"/>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2572"/>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3EBEED-8343-4B32-AC68-E334953C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7580</Words>
  <Characters>43209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50688</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Александр О. Ролин</cp:lastModifiedBy>
  <cp:revision>4</cp:revision>
  <cp:lastPrinted>2018-03-30T13:22:00Z</cp:lastPrinted>
  <dcterms:created xsi:type="dcterms:W3CDTF">2018-03-15T11:06:00Z</dcterms:created>
  <dcterms:modified xsi:type="dcterms:W3CDTF">2018-03-30T13:24:00Z</dcterms:modified>
</cp:coreProperties>
</file>