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2081E" w14:textId="109E69CC" w:rsidR="00ED10DC" w:rsidRPr="00ED10DC" w:rsidRDefault="00ED10DC" w:rsidP="00ED10DC">
      <w:pPr>
        <w:pStyle w:val="a3"/>
        <w:shd w:val="clear" w:color="auto" w:fill="FFFFFF"/>
        <w:spacing w:before="0" w:beforeAutospacing="0" w:after="450" w:afterAutospacing="0"/>
        <w:jc w:val="right"/>
        <w:rPr>
          <w:bCs/>
          <w:color w:val="333333"/>
          <w:sz w:val="28"/>
          <w:szCs w:val="28"/>
        </w:rPr>
      </w:pPr>
      <w:bookmarkStart w:id="0" w:name="_GoBack"/>
      <w:bookmarkEnd w:id="0"/>
      <w:r w:rsidRPr="00ED10DC">
        <w:rPr>
          <w:bCs/>
          <w:color w:val="333333"/>
          <w:sz w:val="28"/>
          <w:szCs w:val="28"/>
        </w:rPr>
        <w:t xml:space="preserve">Приложение 2 к письму ООР «РСПП» </w:t>
      </w:r>
      <w:r w:rsidR="00442F4E">
        <w:rPr>
          <w:bCs/>
          <w:color w:val="333333"/>
          <w:sz w:val="28"/>
          <w:szCs w:val="28"/>
          <w:lang w:val="en-US"/>
        </w:rPr>
        <w:br/>
      </w:r>
      <w:r>
        <w:rPr>
          <w:bCs/>
          <w:color w:val="333333"/>
          <w:sz w:val="28"/>
          <w:szCs w:val="28"/>
        </w:rPr>
        <w:t xml:space="preserve">от </w:t>
      </w:r>
      <w:r w:rsidR="00CF7719">
        <w:rPr>
          <w:bCs/>
          <w:color w:val="333333"/>
          <w:sz w:val="28"/>
          <w:szCs w:val="28"/>
        </w:rPr>
        <w:t>09 июля 2025 г.</w:t>
      </w:r>
      <w:r>
        <w:rPr>
          <w:bCs/>
          <w:color w:val="333333"/>
          <w:sz w:val="28"/>
          <w:szCs w:val="28"/>
        </w:rPr>
        <w:t xml:space="preserve"> № </w:t>
      </w:r>
      <w:r w:rsidR="00CF7719">
        <w:rPr>
          <w:bCs/>
          <w:color w:val="333333"/>
          <w:sz w:val="28"/>
          <w:szCs w:val="28"/>
        </w:rPr>
        <w:t>200/04-р</w:t>
      </w:r>
    </w:p>
    <w:p w14:paraId="31CE2F94" w14:textId="77777777" w:rsidR="00E561DA" w:rsidRPr="004935E8" w:rsidRDefault="00E561DA" w:rsidP="00E561DA">
      <w:pPr>
        <w:pStyle w:val="a3"/>
        <w:shd w:val="clear" w:color="auto" w:fill="FFFFFF"/>
        <w:spacing w:before="0" w:beforeAutospacing="0" w:after="450" w:afterAutospacing="0"/>
        <w:jc w:val="center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t>Всероссийск</w:t>
      </w:r>
      <w:r w:rsidR="00953151" w:rsidRPr="004935E8">
        <w:rPr>
          <w:b/>
          <w:bCs/>
          <w:color w:val="333333"/>
          <w:sz w:val="28"/>
          <w:szCs w:val="28"/>
        </w:rPr>
        <w:t>ий</w:t>
      </w:r>
      <w:r w:rsidRPr="004935E8">
        <w:rPr>
          <w:b/>
          <w:bCs/>
          <w:color w:val="333333"/>
          <w:sz w:val="28"/>
          <w:szCs w:val="28"/>
        </w:rPr>
        <w:t xml:space="preserve"> конкурс</w:t>
      </w:r>
      <w:r w:rsidR="00953151" w:rsidRPr="004935E8">
        <w:rPr>
          <w:b/>
          <w:bCs/>
          <w:color w:val="333333"/>
          <w:sz w:val="28"/>
          <w:szCs w:val="28"/>
        </w:rPr>
        <w:t xml:space="preserve"> </w:t>
      </w:r>
      <w:r w:rsidRPr="004935E8">
        <w:rPr>
          <w:b/>
          <w:bCs/>
          <w:color w:val="333333"/>
          <w:sz w:val="28"/>
          <w:szCs w:val="28"/>
        </w:rPr>
        <w:t xml:space="preserve">лучших практик трудоустройства молодежи </w:t>
      </w:r>
      <w:r w:rsidR="004935E8">
        <w:rPr>
          <w:b/>
          <w:bCs/>
          <w:color w:val="333333"/>
          <w:sz w:val="28"/>
          <w:szCs w:val="28"/>
        </w:rPr>
        <w:br/>
      </w:r>
      <w:r w:rsidRPr="004935E8">
        <w:rPr>
          <w:b/>
          <w:bCs/>
          <w:color w:val="333333"/>
          <w:sz w:val="28"/>
          <w:szCs w:val="28"/>
        </w:rPr>
        <w:t>в 2025 году</w:t>
      </w:r>
    </w:p>
    <w:p w14:paraId="4E0421F2" w14:textId="77777777" w:rsidR="00E561DA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Конкурс организуется Минтрудом России четвертый раз во исполнение Долгосрочной программы содействия занятости молодежи на период до 2030 года, утвержденной распоряжением Правительства Российской Федерации </w:t>
      </w:r>
      <w:r w:rsidR="004935E8">
        <w:rPr>
          <w:color w:val="333333"/>
          <w:sz w:val="28"/>
          <w:szCs w:val="28"/>
        </w:rPr>
        <w:br/>
      </w:r>
      <w:r w:rsidRPr="004935E8">
        <w:rPr>
          <w:color w:val="333333"/>
          <w:sz w:val="28"/>
          <w:szCs w:val="28"/>
        </w:rPr>
        <w:t>от 14 декабря 2021 г. № 3581-р</w:t>
      </w:r>
      <w:r w:rsidR="004935E8">
        <w:rPr>
          <w:color w:val="333333"/>
          <w:sz w:val="28"/>
          <w:szCs w:val="28"/>
        </w:rPr>
        <w:t>, и национального проекта «Кадры»</w:t>
      </w:r>
      <w:r w:rsidRPr="004935E8">
        <w:rPr>
          <w:color w:val="333333"/>
          <w:sz w:val="28"/>
          <w:szCs w:val="28"/>
        </w:rPr>
        <w:t>.</w:t>
      </w:r>
    </w:p>
    <w:p w14:paraId="0F97314F" w14:textId="77777777"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14:paraId="364B68DC" w14:textId="77777777" w:rsidR="00E561DA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  <w:u w:val="single"/>
        </w:rPr>
        <w:t>Цель Конкурса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– выявление лучших практик в сфере трудоустройства молодежи.</w:t>
      </w:r>
    </w:p>
    <w:p w14:paraId="06028C81" w14:textId="77777777"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14:paraId="2AD4D667" w14:textId="77777777" w:rsid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t>Принять участие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в Конкурсе могут представители следующих организаций, осуществляющие трудоустройство молодежи в различных сферах экономики на территории Российской Федерации:</w:t>
      </w:r>
    </w:p>
    <w:p w14:paraId="42320755" w14:textId="77777777"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коммерческих организаций;</w:t>
      </w:r>
    </w:p>
    <w:p w14:paraId="14502086" w14:textId="77777777"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индивидуальных предпринимателей;</w:t>
      </w:r>
    </w:p>
    <w:p w14:paraId="60FC6395" w14:textId="77777777"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некоммерческих организаций;</w:t>
      </w:r>
    </w:p>
    <w:p w14:paraId="4D854017" w14:textId="77777777"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образовательных организаций;</w:t>
      </w:r>
    </w:p>
    <w:p w14:paraId="0BF8A0F4" w14:textId="77777777"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государственных и муниципальных учреждений;</w:t>
      </w:r>
    </w:p>
    <w:p w14:paraId="5C436803" w14:textId="77777777"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государственных корпораций;</w:t>
      </w:r>
    </w:p>
    <w:p w14:paraId="20FA1DD9" w14:textId="77777777" w:rsidR="004935E8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органов местного самоуправления, органов исполнительной власти субъектов Российской Федерации;</w:t>
      </w:r>
    </w:p>
    <w:p w14:paraId="3657D0BE" w14:textId="77777777" w:rsidR="00E561DA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федеральных органов исполнительной власти.</w:t>
      </w:r>
    </w:p>
    <w:p w14:paraId="61EFEABA" w14:textId="77777777" w:rsidR="004935E8" w:rsidRP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14:paraId="4C0CDC61" w14:textId="77777777"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  <w:u w:val="single"/>
        </w:rPr>
        <w:t>Сроки проведения конкурса</w:t>
      </w:r>
    </w:p>
    <w:p w14:paraId="246F43EA" w14:textId="77777777"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1. Подача заявок на участие в Конкурсе</w:t>
      </w:r>
    </w:p>
    <w:p w14:paraId="5B8D3735" w14:textId="77777777"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Участники Конкурса подают заявки в период с 23 июня по 31 августа 2025 г. на участие в Конкурсе путем заполнения соответствующей формы заявки на сайте Минтруда России с приложением необходимых материалов.</w:t>
      </w:r>
    </w:p>
    <w:p w14:paraId="538BC5DE" w14:textId="77777777"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2. Оценка практик экспертным советом </w:t>
      </w:r>
      <w:r w:rsidRPr="004935E8">
        <w:rPr>
          <w:color w:val="333333"/>
          <w:sz w:val="28"/>
          <w:szCs w:val="28"/>
        </w:rPr>
        <w:t>пройдет в период с 8 сентября по 19 октября 2025 г.</w:t>
      </w:r>
    </w:p>
    <w:p w14:paraId="3432B8C8" w14:textId="77777777"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3. Финальный этап</w:t>
      </w:r>
      <w:r w:rsidR="004935E8">
        <w:rPr>
          <w:color w:val="333333"/>
          <w:sz w:val="28"/>
          <w:szCs w:val="28"/>
        </w:rPr>
        <w:t xml:space="preserve"> </w:t>
      </w:r>
      <w:r w:rsidRPr="004935E8">
        <w:rPr>
          <w:color w:val="333333"/>
          <w:sz w:val="28"/>
          <w:szCs w:val="28"/>
        </w:rPr>
        <w:t>Конкурса пройдет с 3 п</w:t>
      </w:r>
      <w:r w:rsidR="004935E8">
        <w:rPr>
          <w:color w:val="333333"/>
          <w:sz w:val="28"/>
          <w:szCs w:val="28"/>
        </w:rPr>
        <w:t xml:space="preserve">о 4 декабря 2025 г., на котором </w:t>
      </w:r>
      <w:r w:rsidRPr="004935E8">
        <w:rPr>
          <w:color w:val="333333"/>
          <w:sz w:val="28"/>
          <w:szCs w:val="28"/>
        </w:rPr>
        <w:t>конкурсанты в очном формате презентуют заявленные практики.</w:t>
      </w:r>
    </w:p>
    <w:p w14:paraId="18E7900C" w14:textId="77777777"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  <w:u w:val="single"/>
        </w:rPr>
        <w:t>Этап 4. Подведение итогов и церемония закрытия Конкурса</w:t>
      </w:r>
      <w:r w:rsidR="004935E8">
        <w:rPr>
          <w:color w:val="333333"/>
          <w:sz w:val="28"/>
          <w:szCs w:val="28"/>
          <w:u w:val="single"/>
        </w:rPr>
        <w:t xml:space="preserve"> </w:t>
      </w:r>
      <w:r w:rsidRPr="004935E8">
        <w:rPr>
          <w:color w:val="333333"/>
          <w:sz w:val="28"/>
          <w:szCs w:val="28"/>
        </w:rPr>
        <w:t xml:space="preserve">состоится </w:t>
      </w:r>
      <w:r w:rsidR="004935E8">
        <w:rPr>
          <w:color w:val="333333"/>
          <w:sz w:val="28"/>
          <w:szCs w:val="28"/>
        </w:rPr>
        <w:br/>
      </w:r>
      <w:r w:rsidRPr="004935E8">
        <w:rPr>
          <w:color w:val="333333"/>
          <w:sz w:val="28"/>
          <w:szCs w:val="28"/>
        </w:rPr>
        <w:t>5 декабря 2025 г. в очном формате в городе Москве.</w:t>
      </w:r>
    </w:p>
    <w:p w14:paraId="068DE977" w14:textId="77777777"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14:paraId="0D422A30" w14:textId="77777777"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14:paraId="3E593081" w14:textId="77777777" w:rsidR="004935E8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</w:p>
    <w:p w14:paraId="7EA6A01F" w14:textId="77777777" w:rsidR="00E561DA" w:rsidRPr="004935E8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b/>
          <w:bCs/>
          <w:color w:val="333333"/>
          <w:sz w:val="28"/>
          <w:szCs w:val="28"/>
        </w:rPr>
        <w:t>В рамках Конкурса предусмотрены следующие номинации</w:t>
      </w:r>
      <w:r w:rsidRPr="004935E8">
        <w:rPr>
          <w:color w:val="333333"/>
          <w:sz w:val="28"/>
          <w:szCs w:val="28"/>
        </w:rPr>
        <w:t>, которые будут оцениваться по штатной численности сотрудников в организации:</w:t>
      </w:r>
    </w:p>
    <w:p w14:paraId="5959CE9B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«Команда без границ: эффективные решения в инклюзивном трудоустройстве» </w:t>
      </w:r>
    </w:p>
    <w:p w14:paraId="6557E833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поддержку и развитие практик, обеспечивающих трудоустройство молодежи из уязвимых групп, таких как инвалиды, граждане с ограниченными возможностями здоровья, ветераны боевых действий, принимавшие участие в специальной военной операции, дети-сироты и лица, освободившиеся из мест лишения свободы. В рамках этой номинации оцениваются инициативы и проекты, которые способствуют созданию инклюзивной среды на рынке труда, обеспечивают доступ к профессиональному обучению и трудовой деятельности, а также помогают преодолеть барьеры, с которыми сталкиваются такие молодые люди. </w:t>
      </w:r>
    </w:p>
    <w:p w14:paraId="7873C8D6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«Регион-магнит: лучшие практики привлечения молодежной аудитории»</w:t>
      </w:r>
    </w:p>
    <w:p w14:paraId="0CECB18E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направлена на выявление практик, которые не только удерживают молодежь в регионе, но и привлекают таланты из других территорий через создание условий для профессиональной и личной самореализации. Успешные проекты в этой номинации сочетают в себе образовательные и карьерные инициативы. Такие практики формируют долгосрочную лояльность молодежи к региону, укрепляют кадровый резерв и повышают инвестиционную привлекательность территории.</w:t>
      </w:r>
    </w:p>
    <w:p w14:paraId="6F645925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«Двойное преимущество: эффективные модели взаимодействия образования и бизнеса»</w:t>
      </w:r>
    </w:p>
    <w:p w14:paraId="77BCC1FF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призвана выявить и отметить лучшие практики сотрудничества между образовательными организациями и работодателями, направленные на повышение качества профессиональной подготовки молодежи и обеспечение эффективного трудоустройства выпускников. Успешные примеры взаимодействия в этой области демонстрируют, важность партнерства между образованием и бизнесом для подготовки конкурентоспособных специалистов, готовых к вызовам современного рынка труда.</w:t>
      </w:r>
    </w:p>
    <w:p w14:paraId="1F6B40A9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«Твой компас в мире профессий: эффективные практики работодателей»</w:t>
      </w:r>
    </w:p>
    <w:p w14:paraId="709C51F5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посвящена оценке и признанию лучших практик работодателей в области </w:t>
      </w:r>
      <w:proofErr w:type="spellStart"/>
      <w:r w:rsidRPr="004935E8">
        <w:rPr>
          <w:color w:val="333333"/>
          <w:sz w:val="28"/>
          <w:szCs w:val="28"/>
        </w:rPr>
        <w:t>профориентационной</w:t>
      </w:r>
      <w:proofErr w:type="spellEnd"/>
      <w:r w:rsidRPr="004935E8">
        <w:rPr>
          <w:color w:val="333333"/>
          <w:sz w:val="28"/>
          <w:szCs w:val="28"/>
        </w:rPr>
        <w:t xml:space="preserve"> работы с молодежью. </w:t>
      </w:r>
      <w:r w:rsidRPr="004935E8">
        <w:rPr>
          <w:color w:val="333333"/>
          <w:sz w:val="28"/>
          <w:szCs w:val="28"/>
        </w:rPr>
        <w:lastRenderedPageBreak/>
        <w:t xml:space="preserve">Основной упор делается на выявление и распространение успешных моделей взаимодействия работодателей с образовательными учреждениями, в сфере профессиональной ориентации и подготовки будущих специалистов. Значимость номинации заключается в формировании позитивного опыта </w:t>
      </w:r>
      <w:proofErr w:type="spellStart"/>
      <w:r w:rsidRPr="004935E8">
        <w:rPr>
          <w:color w:val="333333"/>
          <w:sz w:val="28"/>
          <w:szCs w:val="28"/>
        </w:rPr>
        <w:t>профориентационной</w:t>
      </w:r>
      <w:proofErr w:type="spellEnd"/>
      <w:r w:rsidRPr="004935E8">
        <w:rPr>
          <w:color w:val="333333"/>
          <w:sz w:val="28"/>
          <w:szCs w:val="28"/>
        </w:rPr>
        <w:t xml:space="preserve"> деятельности, который может быть тиражирован другими работодателями для решения задач кадрового обеспечения и развития профессионального потенциала молодежи.</w:t>
      </w:r>
    </w:p>
    <w:p w14:paraId="3801178B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«Путь к призванию: инновационные методики образовательных организаций в </w:t>
      </w:r>
      <w:proofErr w:type="spellStart"/>
      <w:r w:rsidRPr="004935E8">
        <w:rPr>
          <w:color w:val="333333"/>
          <w:sz w:val="28"/>
          <w:szCs w:val="28"/>
        </w:rPr>
        <w:t>профориентационной</w:t>
      </w:r>
      <w:proofErr w:type="spellEnd"/>
      <w:r w:rsidRPr="004935E8">
        <w:rPr>
          <w:color w:val="333333"/>
          <w:sz w:val="28"/>
          <w:szCs w:val="28"/>
        </w:rPr>
        <w:t xml:space="preserve"> работе» </w:t>
      </w:r>
    </w:p>
    <w:p w14:paraId="1CF10CEF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выявление и поддержку передовых практик образовательных учреждений в формировании осознанного профессионального выбора учащихся через современные </w:t>
      </w:r>
      <w:proofErr w:type="spellStart"/>
      <w:r w:rsidRPr="004935E8">
        <w:rPr>
          <w:color w:val="333333"/>
          <w:sz w:val="28"/>
          <w:szCs w:val="28"/>
        </w:rPr>
        <w:t>профориентационные</w:t>
      </w:r>
      <w:proofErr w:type="spellEnd"/>
      <w:r w:rsidRPr="004935E8">
        <w:rPr>
          <w:color w:val="333333"/>
          <w:sz w:val="28"/>
          <w:szCs w:val="28"/>
        </w:rPr>
        <w:t xml:space="preserve"> технологии. Целью является распространение успешных моделей профориентации, объединяющие классические методы с цифровыми сервисами, проектными форматами и ранней специализацией.</w:t>
      </w:r>
    </w:p>
    <w:p w14:paraId="6689F3B4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«Молодые таланты или молодые лидеры в ключевых приоритетных отраслях»</w:t>
      </w:r>
    </w:p>
    <w:p w14:paraId="55573A26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направлена на выявление эффективных практик интеграции молодежи в стратегически значимые для экономики отрасли. Целью является поддержка проектов, формирующий кадровый резерв для ключевых секторов экономики через создание условий для профессионального роста молодежи и ее закрепления на предприятиях. Значимость номинации — укрепление кадрового суверенитета страны, обеспечение преемственности в наукоемких и промышленных отраслях, а также повышение их привлекательности для нового поколения специалистов. </w:t>
      </w:r>
    </w:p>
    <w:p w14:paraId="0E5EA404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«Смелые шаги к успеху: Трудоустройство подростков как старт в карьеру»</w:t>
      </w:r>
    </w:p>
    <w:p w14:paraId="5FC6E99E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Номинация призвана выделить инновационные подходы к легальному и безопасному вовлечению несовершеннолетних граждан 14-18 лет в трудовую деятельность, обеспечивающую их профессиональное самоопределение и социальную адаптацию. Целью данной номинации является поддержание проектов, формирующих возможности для профессионального старта подростков через ранний трудовой опыт с соблюдением норм российского законодательства. Значимость номинации — формирование культуры «ответственного работодателя» и преодоление стереотипов о детском труде. </w:t>
      </w:r>
    </w:p>
    <w:p w14:paraId="6CFD4D21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«Наставник PRO: эффективные практики развития молодых профессионалов» </w:t>
      </w:r>
    </w:p>
    <w:p w14:paraId="4C84D90F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lastRenderedPageBreak/>
        <w:t xml:space="preserve">Номинация посвящена практикам, направленным на сопровождение и поддержку молодых специалистов в процессе их карьерного роста и профессионального развития. Номинация подчеркивает важность наставничества и системного подхода к построению карьерной траектории, что способствует успешной интеграции молодежи в рабочую среду. </w:t>
      </w:r>
    </w:p>
    <w:p w14:paraId="1F87E7D9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«Погружение в профессию: как стажировки становятся мостом к успешной карьере» </w:t>
      </w:r>
    </w:p>
    <w:p w14:paraId="3BD629AD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Данная номинация акцентирует внимание на значимости адаптации молодежи на первом рабочем месте и роли стажировок как ключевого инструмента, способствующего успешному вовлечению молодых специалистов в трудовую деятельность. Номинация подчеркивает, что правильная адаптация и опыт стажировок могут стать важным мостом к успешной карьере, что в конечном итоге способствует повышению уровня занятости среди молодежи. </w:t>
      </w:r>
    </w:p>
    <w:p w14:paraId="2209B461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«Молодежь в центре внимания: формирование уникальной корпоративной культуры для нового поколения» </w:t>
      </w:r>
    </w:p>
    <w:p w14:paraId="6959C19B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посвящена развитию корпоративной молодежной культуры в организациях, подчеркивая важность создания среды, отвечающей потребностям и ожиданиям молодежи. Уникальная корпоративная культура становится важным фактором привлечения и удержания молодых специалистов, а также способствует их вовлеченности и продуктивности.</w:t>
      </w:r>
    </w:p>
    <w:p w14:paraId="33654561" w14:textId="77777777" w:rsidR="00E561DA" w:rsidRPr="004935E8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 xml:space="preserve">«Труд крут: </w:t>
      </w:r>
      <w:proofErr w:type="spellStart"/>
      <w:r w:rsidRPr="004935E8">
        <w:rPr>
          <w:color w:val="333333"/>
          <w:sz w:val="28"/>
          <w:szCs w:val="28"/>
        </w:rPr>
        <w:t>коллаборации</w:t>
      </w:r>
      <w:proofErr w:type="spellEnd"/>
      <w:r w:rsidRPr="004935E8">
        <w:rPr>
          <w:color w:val="333333"/>
          <w:sz w:val="28"/>
          <w:szCs w:val="28"/>
        </w:rPr>
        <w:t xml:space="preserve"> работодателей и Российских студенческих отрядов»</w:t>
      </w:r>
    </w:p>
    <w:p w14:paraId="4F236D8F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Номинация посвящена эффективному взаимодействию между работодателями и студенческими отрядами, выделяя роль такого сотрудничества в трудоустройстве молодежи. Студенческие отряды представляют собой уникальную платформу, где молодые люди могут не только заработать, но и получить ценный опыт, развивая свои навыки и профессиональные компетенции. Данная номинация подчеркивает важность сотрудничества между образовательными учреждениями и бизнесом для формирования квалифицированной и конкурентоспособной молодежи, готовой к вызовам современного рынка труда.</w:t>
      </w:r>
    </w:p>
    <w:p w14:paraId="1D2EE031" w14:textId="77777777" w:rsidR="00E561DA" w:rsidRPr="004935E8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Участники будут разделены по штатной численности организации:</w:t>
      </w:r>
    </w:p>
    <w:p w14:paraId="2A5B7817" w14:textId="77777777"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до 100 человек;</w:t>
      </w:r>
    </w:p>
    <w:p w14:paraId="121ADE5A" w14:textId="77777777"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101 до 500 человек;</w:t>
      </w:r>
    </w:p>
    <w:p w14:paraId="2BD0EDED" w14:textId="77777777"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501 до 1000 человек;</w:t>
      </w:r>
    </w:p>
    <w:p w14:paraId="09445EAA" w14:textId="77777777" w:rsidR="00E561DA" w:rsidRPr="004935E8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от 1001 и более человек.</w:t>
      </w:r>
    </w:p>
    <w:p w14:paraId="1EF050C3" w14:textId="77777777" w:rsidR="005D04D9" w:rsidRPr="004935E8" w:rsidRDefault="005D04D9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lastRenderedPageBreak/>
        <w:t xml:space="preserve">Для номинации «Путь к призванию: инновационные методики образовательных организаций в </w:t>
      </w:r>
      <w:proofErr w:type="spellStart"/>
      <w:r w:rsidRPr="004935E8">
        <w:rPr>
          <w:color w:val="333333"/>
          <w:sz w:val="28"/>
          <w:szCs w:val="28"/>
        </w:rPr>
        <w:t>профориентационной</w:t>
      </w:r>
      <w:proofErr w:type="spellEnd"/>
      <w:r w:rsidRPr="004935E8">
        <w:rPr>
          <w:color w:val="333333"/>
          <w:sz w:val="28"/>
          <w:szCs w:val="28"/>
        </w:rPr>
        <w:t xml:space="preserve"> работе» предусмотрено разделение по типам образовательных организаций:</w:t>
      </w:r>
    </w:p>
    <w:p w14:paraId="04571ABE" w14:textId="77777777"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общеобразовательная организация;</w:t>
      </w:r>
    </w:p>
    <w:p w14:paraId="1CA98C98" w14:textId="77777777"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профессиональная образовательная организация;</w:t>
      </w:r>
    </w:p>
    <w:p w14:paraId="2F836515" w14:textId="77777777" w:rsidR="005D04D9" w:rsidRPr="004935E8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образовательная организация высшего образования.</w:t>
      </w:r>
    </w:p>
    <w:p w14:paraId="5EC9A381" w14:textId="77777777" w:rsidR="00E561DA" w:rsidRPr="004935E8" w:rsidRDefault="004935E8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561DA" w:rsidRPr="004935E8">
        <w:rPr>
          <w:color w:val="333333"/>
          <w:sz w:val="28"/>
          <w:szCs w:val="28"/>
        </w:rPr>
        <w:t>Победителями определяются участники по штатной численности организации в каждой номинации.</w:t>
      </w:r>
    </w:p>
    <w:p w14:paraId="789273A3" w14:textId="77777777" w:rsidR="00953151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Информация о реализации этапов Конкурса будет размешена на данной странице сайта Минтруда России.</w:t>
      </w:r>
    </w:p>
    <w:p w14:paraId="256B2403" w14:textId="77777777" w:rsidR="00953151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935E8">
        <w:rPr>
          <w:color w:val="333333"/>
          <w:sz w:val="28"/>
          <w:szCs w:val="28"/>
        </w:rPr>
        <w:t>Лучшие практики будут опубликованы на сайте Минтруда России.</w:t>
      </w:r>
    </w:p>
    <w:p w14:paraId="1A513ADE" w14:textId="77777777" w:rsidR="0046158C" w:rsidRPr="004935E8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935E8">
        <w:rPr>
          <w:color w:val="333333"/>
          <w:sz w:val="28"/>
          <w:szCs w:val="28"/>
        </w:rPr>
        <w:t>Дополнительную информацию о Конкурсе можно уточнить телефону:</w:t>
      </w:r>
      <w:r w:rsidR="004935E8">
        <w:rPr>
          <w:color w:val="333333"/>
          <w:sz w:val="28"/>
          <w:szCs w:val="28"/>
        </w:rPr>
        <w:t xml:space="preserve"> </w:t>
      </w:r>
      <w:r w:rsidR="004935E8">
        <w:rPr>
          <w:color w:val="333333"/>
          <w:sz w:val="28"/>
          <w:szCs w:val="28"/>
        </w:rPr>
        <w:br/>
        <w:t>8 (495) 917 79 48.</w:t>
      </w:r>
    </w:p>
    <w:sectPr w:rsidR="0046158C" w:rsidRPr="004935E8" w:rsidSect="000579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66A04" w14:textId="77777777" w:rsidR="00884835" w:rsidRDefault="00884835" w:rsidP="00057911">
      <w:pPr>
        <w:spacing w:after="0" w:line="240" w:lineRule="auto"/>
      </w:pPr>
      <w:r>
        <w:separator/>
      </w:r>
    </w:p>
  </w:endnote>
  <w:endnote w:type="continuationSeparator" w:id="0">
    <w:p w14:paraId="46ED2385" w14:textId="77777777" w:rsidR="00884835" w:rsidRDefault="00884835" w:rsidP="0005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27891" w14:textId="77777777" w:rsidR="00884835" w:rsidRDefault="00884835" w:rsidP="00057911">
      <w:pPr>
        <w:spacing w:after="0" w:line="240" w:lineRule="auto"/>
      </w:pPr>
      <w:r>
        <w:separator/>
      </w:r>
    </w:p>
  </w:footnote>
  <w:footnote w:type="continuationSeparator" w:id="0">
    <w:p w14:paraId="5543E152" w14:textId="77777777" w:rsidR="00884835" w:rsidRDefault="00884835" w:rsidP="0005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39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D79A3E" w14:textId="77777777" w:rsidR="00057911" w:rsidRPr="00057911" w:rsidRDefault="00057911">
        <w:pPr>
          <w:pStyle w:val="a4"/>
          <w:jc w:val="center"/>
          <w:rPr>
            <w:rFonts w:ascii="Times New Roman" w:hAnsi="Times New Roman" w:cs="Times New Roman"/>
          </w:rPr>
        </w:pPr>
        <w:r w:rsidRPr="00057911">
          <w:rPr>
            <w:rFonts w:ascii="Times New Roman" w:hAnsi="Times New Roman" w:cs="Times New Roman"/>
          </w:rPr>
          <w:fldChar w:fldCharType="begin"/>
        </w:r>
        <w:r w:rsidRPr="00057911">
          <w:rPr>
            <w:rFonts w:ascii="Times New Roman" w:hAnsi="Times New Roman" w:cs="Times New Roman"/>
          </w:rPr>
          <w:instrText>PAGE   \* MERGEFORMAT</w:instrText>
        </w:r>
        <w:r w:rsidRPr="00057911">
          <w:rPr>
            <w:rFonts w:ascii="Times New Roman" w:hAnsi="Times New Roman" w:cs="Times New Roman"/>
          </w:rPr>
          <w:fldChar w:fldCharType="separate"/>
        </w:r>
        <w:r w:rsidR="008616D0">
          <w:rPr>
            <w:rFonts w:ascii="Times New Roman" w:hAnsi="Times New Roman" w:cs="Times New Roman"/>
            <w:noProof/>
          </w:rPr>
          <w:t>5</w:t>
        </w:r>
        <w:r w:rsidRPr="00057911">
          <w:rPr>
            <w:rFonts w:ascii="Times New Roman" w:hAnsi="Times New Roman" w:cs="Times New Roman"/>
          </w:rPr>
          <w:fldChar w:fldCharType="end"/>
        </w:r>
      </w:p>
    </w:sdtContent>
  </w:sdt>
  <w:p w14:paraId="2E4502BC" w14:textId="77777777" w:rsidR="00057911" w:rsidRDefault="000579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6CE"/>
    <w:multiLevelType w:val="multilevel"/>
    <w:tmpl w:val="6D4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93458"/>
    <w:multiLevelType w:val="hybridMultilevel"/>
    <w:tmpl w:val="9B92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357F"/>
    <w:multiLevelType w:val="multilevel"/>
    <w:tmpl w:val="0CD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D7631"/>
    <w:multiLevelType w:val="hybridMultilevel"/>
    <w:tmpl w:val="243C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B4D38"/>
    <w:multiLevelType w:val="hybridMultilevel"/>
    <w:tmpl w:val="1F8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178C1"/>
    <w:multiLevelType w:val="multilevel"/>
    <w:tmpl w:val="879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40B28"/>
    <w:multiLevelType w:val="multilevel"/>
    <w:tmpl w:val="53F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80D8E"/>
    <w:multiLevelType w:val="hybridMultilevel"/>
    <w:tmpl w:val="64FEF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035F1D"/>
    <w:multiLevelType w:val="hybridMultilevel"/>
    <w:tmpl w:val="6F58FF18"/>
    <w:lvl w:ilvl="0" w:tplc="0B8C3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A"/>
    <w:rsid w:val="00057911"/>
    <w:rsid w:val="000B099F"/>
    <w:rsid w:val="000F6F6E"/>
    <w:rsid w:val="00442F4E"/>
    <w:rsid w:val="0046158C"/>
    <w:rsid w:val="004935E8"/>
    <w:rsid w:val="005B0A9B"/>
    <w:rsid w:val="005D04D9"/>
    <w:rsid w:val="00624809"/>
    <w:rsid w:val="008616D0"/>
    <w:rsid w:val="00884835"/>
    <w:rsid w:val="009326E9"/>
    <w:rsid w:val="00953151"/>
    <w:rsid w:val="00A15451"/>
    <w:rsid w:val="00AB6A25"/>
    <w:rsid w:val="00B6221D"/>
    <w:rsid w:val="00CF7719"/>
    <w:rsid w:val="00D73A47"/>
    <w:rsid w:val="00D907CD"/>
    <w:rsid w:val="00E561DA"/>
    <w:rsid w:val="00E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E9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Волнистов Артем Дмитриевич</dc:creator>
  <cp:lastModifiedBy>Татьяна В. Кузнецова</cp:lastModifiedBy>
  <cp:revision>2</cp:revision>
  <cp:lastPrinted>2025-06-19T08:06:00Z</cp:lastPrinted>
  <dcterms:created xsi:type="dcterms:W3CDTF">2025-07-11T10:51:00Z</dcterms:created>
  <dcterms:modified xsi:type="dcterms:W3CDTF">2025-07-11T10:51:00Z</dcterms:modified>
</cp:coreProperties>
</file>