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55" w:rsidRDefault="001C0B55">
      <w:pPr>
        <w:pStyle w:val="ConsPlusNormal"/>
        <w:jc w:val="both"/>
        <w:outlineLvl w:val="0"/>
      </w:pPr>
    </w:p>
    <w:p w:rsidR="001C0B55" w:rsidRDefault="001C0B55">
      <w:pPr>
        <w:pStyle w:val="ConsPlusTitle"/>
        <w:jc w:val="center"/>
      </w:pPr>
      <w:r>
        <w:t>ФЕДЕРАЛЬНОЕ АВТОНОМНОЕ УЧРЕЖДЕНИЕ</w:t>
      </w:r>
    </w:p>
    <w:p w:rsidR="001C0B55" w:rsidRDefault="001C0B55">
      <w:pPr>
        <w:pStyle w:val="ConsPlusTitle"/>
        <w:jc w:val="center"/>
      </w:pPr>
      <w:r>
        <w:t>"ГЛАВНОЕ УПРАВЛЕНИЕ ГОСУДАРСТВЕННОЙ ЭКСПЕРТИЗЫ"</w:t>
      </w:r>
    </w:p>
    <w:p w:rsidR="001C0B55" w:rsidRDefault="001C0B55">
      <w:pPr>
        <w:pStyle w:val="ConsPlusTitle"/>
        <w:jc w:val="center"/>
      </w:pPr>
    </w:p>
    <w:p w:rsidR="001C0B55" w:rsidRDefault="001C0B55">
      <w:pPr>
        <w:pStyle w:val="ConsPlusTitle"/>
        <w:jc w:val="center"/>
      </w:pPr>
      <w:r>
        <w:t>ИНФОРМАЦИЯ</w:t>
      </w:r>
    </w:p>
    <w:p w:rsidR="001C0B55" w:rsidRDefault="001C0B55">
      <w:pPr>
        <w:pStyle w:val="ConsPlusNormal"/>
        <w:ind w:firstLine="540"/>
        <w:jc w:val="both"/>
      </w:pPr>
    </w:p>
    <w:p w:rsidR="001C0B55" w:rsidRDefault="001C0B55">
      <w:pPr>
        <w:pStyle w:val="ConsPlusNormal"/>
        <w:ind w:firstLine="540"/>
        <w:jc w:val="both"/>
      </w:pPr>
      <w:proofErr w:type="spellStart"/>
      <w:r>
        <w:t>Главгосэкспертиза</w:t>
      </w:r>
      <w:proofErr w:type="spellEnd"/>
      <w:r>
        <w:t xml:space="preserve"> России информирует получателей своих услуг о порядке подготовки и применения заключений по результатам оценки соответствия изменений, внесенных в проектную документацию, в рамках экспертного сопровождения.</w:t>
      </w:r>
    </w:p>
    <w:p w:rsidR="001C0B55" w:rsidRDefault="001C0B55" w:rsidP="00E66D98">
      <w:pPr>
        <w:pStyle w:val="ConsPlusNormal"/>
        <w:ind w:firstLine="540"/>
        <w:jc w:val="both"/>
      </w:pPr>
      <w:r>
        <w:t xml:space="preserve">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июня 2019 года N 151-ФЗ внесены изменения в Градостроительный </w:t>
      </w:r>
      <w:hyperlink r:id="rId6" w:history="1">
        <w:r>
          <w:rPr>
            <w:color w:val="0000FF"/>
          </w:rPr>
          <w:t>кодекс</w:t>
        </w:r>
      </w:hyperlink>
      <w:r w:rsidR="00E66D98">
        <w:t xml:space="preserve"> Российской Федерации</w:t>
      </w:r>
      <w:r>
        <w:t>, предусматривающие введение института экспертного сопровождения (</w:t>
      </w:r>
      <w:hyperlink r:id="rId7" w:history="1">
        <w:r>
          <w:rPr>
            <w:color w:val="0000FF"/>
          </w:rPr>
          <w:t>части 3.9</w:t>
        </w:r>
      </w:hyperlink>
      <w:r>
        <w:t xml:space="preserve"> - </w:t>
      </w:r>
      <w:hyperlink r:id="rId8" w:history="1">
        <w:r>
          <w:rPr>
            <w:color w:val="0000FF"/>
          </w:rPr>
          <w:t>3.11 статьи 49</w:t>
        </w:r>
      </w:hyperlink>
      <w:r>
        <w:t xml:space="preserve"> кодекса).</w:t>
      </w:r>
    </w:p>
    <w:p w:rsidR="001C0B55" w:rsidRDefault="001C0B55">
      <w:pPr>
        <w:pStyle w:val="ConsPlusNormal"/>
        <w:ind w:firstLine="540"/>
        <w:jc w:val="both"/>
      </w:pPr>
      <w:r>
        <w:t>Застройщики (технические заказчики) получили возможность направления изменений, внесенных в проектную документацию, на повторную экспертизу, осуществляемую в форме экспертного сопровождения.</w:t>
      </w:r>
    </w:p>
    <w:p w:rsidR="001C0B55" w:rsidRDefault="001C0B55" w:rsidP="00E66D98">
      <w:pPr>
        <w:pStyle w:val="ConsPlusNormal"/>
        <w:ind w:firstLine="540"/>
        <w:jc w:val="both"/>
      </w:pPr>
      <w:r>
        <w:t xml:space="preserve">Порядок проведения экспертного сопровождения установлен в </w:t>
      </w:r>
      <w:hyperlink r:id="rId9" w:history="1">
        <w:r>
          <w:rPr>
            <w:color w:val="0000FF"/>
          </w:rPr>
          <w:t>Положении</w:t>
        </w:r>
      </w:hyperlink>
      <w:r>
        <w:t xml:space="preserve"> об организации и проведении государственной экспертизы проектной документации и р</w:t>
      </w:r>
      <w:r w:rsidR="00E66D98">
        <w:t>езультатов инженерных изысканий</w:t>
      </w:r>
      <w:r>
        <w:t>.</w:t>
      </w:r>
    </w:p>
    <w:p w:rsidR="001C0B55" w:rsidRDefault="001C0B55">
      <w:pPr>
        <w:pStyle w:val="ConsPlusNormal"/>
        <w:ind w:firstLine="540"/>
        <w:jc w:val="both"/>
      </w:pPr>
      <w:r>
        <w:t xml:space="preserve">Суть экспертного сопровождения заключается в том, что в рамках договора об экспертном сопровождении, заключаемого на 1 год, застройщик (технический заказчик) вправе представлять в </w:t>
      </w:r>
      <w:proofErr w:type="spellStart"/>
      <w:r>
        <w:t>Главгосэкспертизу</w:t>
      </w:r>
      <w:proofErr w:type="spellEnd"/>
      <w:r>
        <w:t xml:space="preserve"> любые изменения, внесенные в проектную документацию. </w:t>
      </w:r>
      <w:proofErr w:type="gramStart"/>
      <w:r>
        <w:t>Они рассматриваются в течение короткого срока - 10 - 20 рабочих дней в зависимости от объема изменений - на предмет соответствия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безопасности, требованиям к обеспечению надежности и безопасности электроэнергетических систем и объектов электроэнергетики, требованиям антитеррористической защищенности объекта, заданию</w:t>
      </w:r>
      <w:proofErr w:type="gramEnd"/>
      <w:r>
        <w:t xml:space="preserve"> застройщика или технического заказчика на проектирование, результатам инженерных изысканий.</w:t>
      </w:r>
    </w:p>
    <w:p w:rsidR="001C0B55" w:rsidRDefault="001C0B55" w:rsidP="00E66D98">
      <w:pPr>
        <w:pStyle w:val="ConsPlusNormal"/>
        <w:ind w:firstLine="540"/>
        <w:jc w:val="both"/>
      </w:pPr>
      <w:r>
        <w:t>Таким образом, предмет оценки изменений проектной документации в ходе экспертного сопровождения идентичен предмету государственной экспертизы проектной документации.</w:t>
      </w:r>
    </w:p>
    <w:p w:rsidR="001C0B55" w:rsidRDefault="001C0B55" w:rsidP="00E66D98">
      <w:pPr>
        <w:pStyle w:val="ConsPlusNormal"/>
        <w:ind w:firstLine="540"/>
        <w:jc w:val="both"/>
      </w:pPr>
      <w:proofErr w:type="spellStart"/>
      <w:r>
        <w:t>Главгосэкспертиза</w:t>
      </w:r>
      <w:proofErr w:type="spellEnd"/>
      <w:r>
        <w:t xml:space="preserve"> России выдает заключение по результатам оценки соответствия в рамках экспертного сопровождения, содержащее указанные в </w:t>
      </w:r>
      <w:hyperlink r:id="rId10" w:history="1">
        <w:r>
          <w:rPr>
            <w:color w:val="0000FF"/>
          </w:rPr>
          <w:t>части 3.9</w:t>
        </w:r>
      </w:hyperlink>
      <w:r>
        <w:t xml:space="preserve"> Градостроительного кодекса выводы в отношении изменений, внесенных в проектную документацию (далее - "промежуточное" заключение). "Промежуточное" заключение не подлежит включению в </w:t>
      </w:r>
      <w:r w:rsidR="00E66D98">
        <w:t>Единый государственный реестр заключений экспертизы проектной документации объектов капитального строительства</w:t>
      </w:r>
      <w:r w:rsidR="00E66D98">
        <w:t xml:space="preserve"> (</w:t>
      </w:r>
      <w:r>
        <w:t>ЕГРЗ</w:t>
      </w:r>
      <w:r w:rsidR="00E66D98">
        <w:t>)</w:t>
      </w:r>
      <w:r>
        <w:t>.</w:t>
      </w:r>
    </w:p>
    <w:p w:rsidR="001C0B55" w:rsidRDefault="001C0B55">
      <w:pPr>
        <w:pStyle w:val="ConsPlusNormal"/>
        <w:ind w:firstLine="540"/>
        <w:jc w:val="both"/>
      </w:pPr>
      <w:proofErr w:type="gramStart"/>
      <w:r>
        <w:t xml:space="preserve">При этом согласно </w:t>
      </w:r>
      <w:hyperlink r:id="rId11" w:history="1">
        <w:r>
          <w:rPr>
            <w:color w:val="0000FF"/>
          </w:rPr>
          <w:t>части 2 статьи 54</w:t>
        </w:r>
      </w:hyperlink>
      <w:r>
        <w:t xml:space="preserve"> Градостроительного кодекса при осуществлении государственного строительного надзора проводится проверка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утвержденной проектной документации с учетом изменений, внесенных в проектную документацию, в том числе, в соответствии с </w:t>
      </w:r>
      <w:hyperlink r:id="rId12" w:history="1">
        <w:r>
          <w:rPr>
            <w:color w:val="0000FF"/>
          </w:rPr>
          <w:t>частью 3.9 статьи 49</w:t>
        </w:r>
      </w:hyperlink>
      <w:r>
        <w:t xml:space="preserve"> Градостроительного кодекса, то есть</w:t>
      </w:r>
      <w:proofErr w:type="gramEnd"/>
      <w:r>
        <w:t xml:space="preserve"> с учетом выданных в установленном порядке "промежуточных" заключений.</w:t>
      </w:r>
    </w:p>
    <w:p w:rsidR="001C0B55" w:rsidRDefault="001C0B55" w:rsidP="00E66D98">
      <w:pPr>
        <w:pStyle w:val="ConsPlusNormal"/>
        <w:ind w:firstLine="540"/>
        <w:jc w:val="both"/>
      </w:pPr>
      <w:r>
        <w:t xml:space="preserve">Отдельно следует отметить, что в случае внесения в ходе экспертного сопровождения изменений в проектную документацию, требующих проведения экспертизы, в целях получения указанного в </w:t>
      </w:r>
      <w:hyperlink r:id="rId13" w:history="1">
        <w:r>
          <w:rPr>
            <w:color w:val="0000FF"/>
          </w:rPr>
          <w:t>части 3 статьи 55</w:t>
        </w:r>
      </w:hyperlink>
      <w:r>
        <w:t xml:space="preserve"> Градостроительного кодекса заключения органа государственного строительного </w:t>
      </w:r>
      <w:proofErr w:type="gramStart"/>
      <w:r>
        <w:t>надзора</w:t>
      </w:r>
      <w:proofErr w:type="gramEnd"/>
      <w:r>
        <w:t xml:space="preserve"> о соответствии построенного, реконструированного объекта капитального строительства требованиям проектной документации выдается заключение повторной государственной экспертизы проектной документации ("итоговое" заключение), сведения о котором подлежат включению в ЕГРЗ.</w:t>
      </w:r>
    </w:p>
    <w:p w:rsidR="001C0B55" w:rsidRDefault="001C0B55" w:rsidP="00E66D98">
      <w:pPr>
        <w:pStyle w:val="ConsPlusNormal"/>
        <w:ind w:firstLine="540"/>
        <w:jc w:val="both"/>
      </w:pPr>
      <w:r>
        <w:t xml:space="preserve">Одновременно обращаем внимание, что Градостроительный </w:t>
      </w:r>
      <w:hyperlink r:id="rId14" w:history="1">
        <w:r>
          <w:rPr>
            <w:color w:val="0000FF"/>
          </w:rPr>
          <w:t>кодекс</w:t>
        </w:r>
      </w:hyperlink>
      <w:r>
        <w:t xml:space="preserve"> не ставит реализацию вышеуказанных положений в зависимость от наличия утвержденной формы "промежуточного" заключения.</w:t>
      </w:r>
      <w:bookmarkStart w:id="0" w:name="_GoBack"/>
      <w:bookmarkEnd w:id="0"/>
    </w:p>
    <w:sectPr w:rsidR="001C0B55" w:rsidSect="00E66D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55"/>
    <w:rsid w:val="001C0B55"/>
    <w:rsid w:val="004B0EC7"/>
    <w:rsid w:val="00E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0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0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0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0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E4020741230597D0CF63D42A86DD400A5A3038110ADAB867FE9444C484AA260B01C724A0947ECC66F0F2118B448B4E8E3DE3B072CS0e8I" TargetMode="External"/><Relationship Id="rId13" Type="http://schemas.openxmlformats.org/officeDocument/2006/relationships/hyperlink" Target="consultantplus://offline/ref=95FE4020741230597D0CF63D42A86DD400A5A3038110ADAB867FE9444C484AA260B01C734D074EB3C37A1E7914BC5FAAEEFBC23905S2e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FE4020741230597D0CF63D42A86DD400A5A3038110ADAB867FE9444C484AA260B01C724A0945ECC66F0F2118B448B4E8E3DE3B072CS0e8I" TargetMode="External"/><Relationship Id="rId12" Type="http://schemas.openxmlformats.org/officeDocument/2006/relationships/hyperlink" Target="consultantplus://offline/ref=95FE4020741230597D0CF63D42A86DD400A5A3038110ADAB867FE9444C484AA260B01C724A0945ECC66F0F2118B448B4E8E3DE3B072CS0e8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FE4020741230597D0CF63D42A86DD400A5A3038110ADAB867FE9444C484AA272B0447C4B065BE79420497417SBe5I" TargetMode="External"/><Relationship Id="rId11" Type="http://schemas.openxmlformats.org/officeDocument/2006/relationships/hyperlink" Target="consultantplus://offline/ref=95FE4020741230597D0CF63D42A86DD400A5A3038110ADAB867FE9444C484AA260B01C734C0D4DECC66F0F2118B448B4E8E3DE3B072CS0e8I" TargetMode="External"/><Relationship Id="rId5" Type="http://schemas.openxmlformats.org/officeDocument/2006/relationships/hyperlink" Target="consultantplus://offline/ref=95FE4020741230597D0CF63D42A86DD400A3A2088519ADAB867FE9444C484AA272B0447C4B065BE79420497417SBe5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FE4020741230597D0CF63D42A86DD400A5A3038110ADAB867FE9444C484AA260B01C724A0945ECC66F0F2118B448B4E8E3DE3B072CS0e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FE4020741230597D0CF63D42A86DD400A4A0068618ADAB867FE9444C484AA260B01C704A0F45E49B351F2551E04CABE1FBC03F192C086AS4eCI" TargetMode="External"/><Relationship Id="rId14" Type="http://schemas.openxmlformats.org/officeDocument/2006/relationships/hyperlink" Target="consultantplus://offline/ref=95FE4020741230597D0CF63D42A86DD400A5A3038110ADAB867FE9444C484AA272B0447C4B065BE79420497417SB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USSER</cp:lastModifiedBy>
  <cp:revision>2</cp:revision>
  <dcterms:created xsi:type="dcterms:W3CDTF">2020-06-19T10:41:00Z</dcterms:created>
  <dcterms:modified xsi:type="dcterms:W3CDTF">2020-06-19T10:41:00Z</dcterms:modified>
</cp:coreProperties>
</file>