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E8C" w:rsidRDefault="00631E8C">
      <w:pPr>
        <w:pStyle w:val="ConsPlusTitlePage"/>
      </w:pPr>
      <w:r>
        <w:t xml:space="preserve">Документ предоставлен </w:t>
      </w:r>
      <w:hyperlink r:id="rId5">
        <w:r>
          <w:rPr>
            <w:color w:val="0000FF"/>
          </w:rPr>
          <w:t>КонсультантПлюс</w:t>
        </w:r>
      </w:hyperlink>
      <w:r>
        <w:br/>
      </w:r>
    </w:p>
    <w:p w:rsidR="00631E8C" w:rsidRDefault="00631E8C">
      <w:pPr>
        <w:pStyle w:val="ConsPlusNormal"/>
        <w:outlineLvl w:val="0"/>
      </w:pPr>
    </w:p>
    <w:p w:rsidR="00631E8C" w:rsidRDefault="00631E8C">
      <w:pPr>
        <w:pStyle w:val="ConsPlusTitle"/>
        <w:jc w:val="center"/>
      </w:pPr>
      <w:r>
        <w:t>МИНИСТЕРСТВО СТРОИТЕЛЬСТВА И ЖИЛИЩНО-КОММУНАЛЬНОГО</w:t>
      </w:r>
    </w:p>
    <w:p w:rsidR="00631E8C" w:rsidRDefault="00631E8C">
      <w:pPr>
        <w:pStyle w:val="ConsPlusTitle"/>
        <w:jc w:val="center"/>
      </w:pPr>
      <w:r>
        <w:t>ХОЗЯЙСТВА РОССИЙСКОЙ ФЕДЕРАЦИИ</w:t>
      </w:r>
    </w:p>
    <w:p w:rsidR="00631E8C" w:rsidRDefault="00631E8C">
      <w:pPr>
        <w:pStyle w:val="ConsPlusTitle"/>
        <w:jc w:val="center"/>
      </w:pPr>
    </w:p>
    <w:p w:rsidR="00631E8C" w:rsidRDefault="00631E8C">
      <w:pPr>
        <w:pStyle w:val="ConsPlusTitle"/>
        <w:jc w:val="center"/>
      </w:pPr>
      <w:r>
        <w:t>ПИСЬМО</w:t>
      </w:r>
    </w:p>
    <w:p w:rsidR="00631E8C" w:rsidRDefault="00631E8C">
      <w:pPr>
        <w:pStyle w:val="ConsPlusTitle"/>
        <w:jc w:val="center"/>
      </w:pPr>
      <w:r>
        <w:t>от 11 марта 2026 г. N 5390-ОГ/08</w:t>
      </w:r>
    </w:p>
    <w:p w:rsidR="00631E8C" w:rsidRDefault="00631E8C">
      <w:pPr>
        <w:pStyle w:val="ConsPlusNormal"/>
        <w:jc w:val="center"/>
      </w:pPr>
    </w:p>
    <w:p w:rsidR="00631E8C" w:rsidRDefault="00631E8C">
      <w:pPr>
        <w:pStyle w:val="ConsPlusNormal"/>
        <w:ind w:firstLine="540"/>
        <w:jc w:val="both"/>
      </w:pPr>
      <w:r>
        <w:t>Департамент градостроительной деятельности и архитектуры Министерства строительства и жилищно-коммунального хозяйства Российской Федерации в ответ на обращение сообщает следующее.</w:t>
      </w:r>
    </w:p>
    <w:p w:rsidR="00631E8C" w:rsidRDefault="00631E8C">
      <w:pPr>
        <w:pStyle w:val="ConsPlusNormal"/>
        <w:spacing w:before="220"/>
        <w:ind w:firstLine="540"/>
        <w:jc w:val="both"/>
      </w:pPr>
      <w:hyperlink r:id="rId6">
        <w:r>
          <w:rPr>
            <w:color w:val="0000FF"/>
          </w:rPr>
          <w:t>Порядок</w:t>
        </w:r>
      </w:hyperlink>
      <w:r>
        <w:t xml:space="preserve">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утвержден приказом Минстроя России от 2 декабря 2022 г. N 1026/</w:t>
      </w:r>
      <w:proofErr w:type="gramStart"/>
      <w:r>
        <w:t>пр</w:t>
      </w:r>
      <w:proofErr w:type="gramEnd"/>
      <w:r>
        <w:t xml:space="preserve"> (далее - общий журнал, Порядок N 1026 соответственно).</w:t>
      </w:r>
    </w:p>
    <w:p w:rsidR="00631E8C" w:rsidRDefault="00631E8C">
      <w:pPr>
        <w:pStyle w:val="ConsPlusNormal"/>
        <w:spacing w:before="220"/>
        <w:ind w:firstLine="540"/>
        <w:jc w:val="both"/>
      </w:pPr>
      <w:r>
        <w:t xml:space="preserve">В соответствии с </w:t>
      </w:r>
      <w:hyperlink r:id="rId7">
        <w:r>
          <w:rPr>
            <w:color w:val="0000FF"/>
          </w:rPr>
          <w:t>пунктом 1</w:t>
        </w:r>
      </w:hyperlink>
      <w:r>
        <w:t xml:space="preserve"> Порядка N 1026 общий журнал должен отражать последовательность осуществления строительства, реконструкции, капитального ремонта объекта капитального строительства, в том числе сроки и условия выполнения всех работ при строительстве, реконструкции, капитальном ремонте объекта капитального строительства, а также сведения о строительном контроле и государственном строительном надзоре.</w:t>
      </w:r>
    </w:p>
    <w:p w:rsidR="00631E8C" w:rsidRDefault="00631E8C">
      <w:pPr>
        <w:pStyle w:val="ConsPlusNormal"/>
        <w:spacing w:before="220"/>
        <w:ind w:firstLine="540"/>
        <w:jc w:val="both"/>
      </w:pPr>
      <w:r>
        <w:t xml:space="preserve">Согласно </w:t>
      </w:r>
      <w:hyperlink r:id="rId8">
        <w:r>
          <w:rPr>
            <w:color w:val="0000FF"/>
          </w:rPr>
          <w:t>части 3 статьи 52</w:t>
        </w:r>
      </w:hyperlink>
      <w:r>
        <w:t xml:space="preserve"> Градостроительного кодекса Российской Федерации (далее - ГрК РФ)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hyperlink r:id="rId9">
        <w:r>
          <w:rPr>
            <w:color w:val="0000FF"/>
          </w:rPr>
          <w:t>ГрК</w:t>
        </w:r>
      </w:hyperlink>
      <w:r>
        <w:t xml:space="preserve"> РФ).</w:t>
      </w:r>
    </w:p>
    <w:p w:rsidR="00631E8C" w:rsidRDefault="00631E8C">
      <w:pPr>
        <w:pStyle w:val="ConsPlusNormal"/>
        <w:spacing w:before="220"/>
        <w:ind w:firstLine="540"/>
        <w:jc w:val="both"/>
      </w:pPr>
      <w:r>
        <w:t xml:space="preserve">Согласно </w:t>
      </w:r>
      <w:hyperlink r:id="rId10">
        <w:r>
          <w:rPr>
            <w:color w:val="0000FF"/>
          </w:rPr>
          <w:t>части 2 статьи 53</w:t>
        </w:r>
      </w:hyperlink>
      <w:r>
        <w:t xml:space="preserve"> ГрК РФ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w:t>
      </w:r>
    </w:p>
    <w:p w:rsidR="00631E8C" w:rsidRDefault="00631E8C">
      <w:pPr>
        <w:pStyle w:val="ConsPlusNormal"/>
        <w:spacing w:before="220"/>
        <w:ind w:firstLine="540"/>
        <w:jc w:val="both"/>
      </w:pPr>
      <w:proofErr w:type="gramStart"/>
      <w:r>
        <w:t xml:space="preserve">Исходя из совокупности положений </w:t>
      </w:r>
      <w:hyperlink r:id="rId11">
        <w:r>
          <w:rPr>
            <w:color w:val="0000FF"/>
          </w:rPr>
          <w:t>пункта 22 статьи 1</w:t>
        </w:r>
      </w:hyperlink>
      <w:r>
        <w:t xml:space="preserve"> и </w:t>
      </w:r>
      <w:hyperlink r:id="rId12">
        <w:r>
          <w:rPr>
            <w:color w:val="0000FF"/>
          </w:rPr>
          <w:t>части 2 статьи 53</w:t>
        </w:r>
      </w:hyperlink>
      <w:r>
        <w:t xml:space="preserve"> ГрК РФ для выполнения строительного контроля техническому заказчику требуется</w:t>
      </w:r>
      <w:proofErr w:type="gramEnd"/>
      <w:r>
        <w:t xml:space="preserve"> членство в саморегулируемой организации в области строительства, реконструкции, капитального ремонта, сноса объектов капитального строительства.</w:t>
      </w:r>
    </w:p>
    <w:p w:rsidR="00631E8C" w:rsidRDefault="00631E8C">
      <w:pPr>
        <w:pStyle w:val="ConsPlusNormal"/>
        <w:spacing w:before="220"/>
        <w:ind w:firstLine="540"/>
        <w:jc w:val="both"/>
      </w:pPr>
      <w:r>
        <w:t xml:space="preserve">Работы по договорам строительного подряда должны выполняться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(генеральные подрядчики), за исключением случаев, установленных </w:t>
      </w:r>
      <w:hyperlink r:id="rId13">
        <w:r>
          <w:rPr>
            <w:color w:val="0000FF"/>
          </w:rPr>
          <w:t>частями 2.1</w:t>
        </w:r>
      </w:hyperlink>
      <w:r>
        <w:t xml:space="preserve"> и </w:t>
      </w:r>
      <w:hyperlink r:id="rId14">
        <w:r>
          <w:rPr>
            <w:color w:val="0000FF"/>
          </w:rPr>
          <w:t>2.2 статьи 52</w:t>
        </w:r>
      </w:hyperlink>
      <w:r>
        <w:t xml:space="preserve"> ГрК РФ.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w:t>
      </w:r>
      <w:hyperlink r:id="rId15">
        <w:r>
          <w:rPr>
            <w:color w:val="0000FF"/>
          </w:rPr>
          <w:t>часть 2 статьи 52</w:t>
        </w:r>
      </w:hyperlink>
      <w:r>
        <w:t xml:space="preserve"> ГрК РФ).</w:t>
      </w:r>
    </w:p>
    <w:p w:rsidR="00631E8C" w:rsidRDefault="00631E8C">
      <w:pPr>
        <w:pStyle w:val="ConsPlusNormal"/>
        <w:spacing w:before="220"/>
        <w:ind w:firstLine="540"/>
        <w:jc w:val="both"/>
      </w:pPr>
      <w:hyperlink r:id="rId16">
        <w:r>
          <w:rPr>
            <w:color w:val="0000FF"/>
          </w:rPr>
          <w:t>Частями 3</w:t>
        </w:r>
      </w:hyperlink>
      <w:r>
        <w:t xml:space="preserve"> и </w:t>
      </w:r>
      <w:hyperlink r:id="rId17">
        <w:r>
          <w:rPr>
            <w:color w:val="0000FF"/>
          </w:rPr>
          <w:t>5 статьи 55.5-1</w:t>
        </w:r>
      </w:hyperlink>
      <w:r>
        <w:t xml:space="preserve"> ГрК РФ определены должностные обязанности специалистов по организации инженерных изысканий, архитектурно-строительного проектирования, строительства. </w:t>
      </w:r>
      <w:proofErr w:type="gramStart"/>
      <w:r>
        <w:t xml:space="preserve">Такие специалисты осуществляют трудовые функции, предусмотренные указанной </w:t>
      </w:r>
      <w:hyperlink r:id="rId18">
        <w:r>
          <w:rPr>
            <w:color w:val="0000FF"/>
          </w:rPr>
          <w:t>статьей</w:t>
        </w:r>
      </w:hyperlink>
      <w:r>
        <w:t>, в соответствии с профессиональными стандартами (</w:t>
      </w:r>
      <w:hyperlink r:id="rId19">
        <w:r>
          <w:rPr>
            <w:color w:val="0000FF"/>
          </w:rPr>
          <w:t>часть 6 статьи 55.5-1</w:t>
        </w:r>
      </w:hyperlink>
      <w:r>
        <w:t xml:space="preserve"> ГрК РФ) со дня включения сведений о нем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 реестровый специалист) (</w:t>
      </w:r>
      <w:hyperlink r:id="rId20">
        <w:r>
          <w:rPr>
            <w:color w:val="0000FF"/>
          </w:rPr>
          <w:t>часть 7 статьи 55.5-1</w:t>
        </w:r>
      </w:hyperlink>
      <w:r>
        <w:t xml:space="preserve"> ГрК РФ).</w:t>
      </w:r>
      <w:proofErr w:type="gramEnd"/>
      <w:r>
        <w:t xml:space="preserve"> Выполнение строительного контроля строительства объектов капитального строительства иными работниками члена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не допускается.</w:t>
      </w:r>
    </w:p>
    <w:p w:rsidR="00631E8C" w:rsidRDefault="00631E8C">
      <w:pPr>
        <w:pStyle w:val="ConsPlusNormal"/>
        <w:spacing w:before="220"/>
        <w:ind w:firstLine="540"/>
        <w:jc w:val="both"/>
      </w:pPr>
      <w:r>
        <w:t>При этом требование о наличии в штате реестровых специалистов распространяется только на индивидуальных предпринимателей и юридических лиц, являющихся членами саморегулируемой организации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31E8C" w:rsidRDefault="00631E8C">
      <w:pPr>
        <w:pStyle w:val="ConsPlusNormal"/>
        <w:spacing w:before="220"/>
        <w:ind w:firstLine="540"/>
        <w:jc w:val="both"/>
      </w:pPr>
      <w:r>
        <w:t xml:space="preserve">Согласно </w:t>
      </w:r>
      <w:hyperlink r:id="rId21">
        <w:r>
          <w:rPr>
            <w:color w:val="0000FF"/>
          </w:rPr>
          <w:t>пункту 3.3.3</w:t>
        </w:r>
      </w:hyperlink>
      <w:r>
        <w:t xml:space="preserve"> профессионального стандарта "Специалист по организации строительства", утвержденному приказом Минтруда России от 21 апреля 2022 г. N 231н, к трудовой функции специалиста по организации </w:t>
      </w:r>
      <w:proofErr w:type="gramStart"/>
      <w:r>
        <w:t>строительства</w:t>
      </w:r>
      <w:proofErr w:type="gramEnd"/>
      <w:r>
        <w:t xml:space="preserve"> в том числе относится строительный контроль объектов капитального строительства.</w:t>
      </w:r>
    </w:p>
    <w:p w:rsidR="00631E8C" w:rsidRDefault="00631E8C">
      <w:pPr>
        <w:pStyle w:val="ConsPlusNormal"/>
        <w:spacing w:before="220"/>
        <w:ind w:firstLine="540"/>
        <w:jc w:val="both"/>
      </w:pPr>
      <w:r>
        <w:t xml:space="preserve">Таким образом, по вопросу необходимости указания в исполнительной документации идентификационного номера уполномоченного представителя лица, осуществляющего строительство, реконструкцию, капитальный ремонт, в национальном реестре специалистов в области строительства следует руководствоваться положениями </w:t>
      </w:r>
      <w:hyperlink r:id="rId22">
        <w:r>
          <w:rPr>
            <w:color w:val="0000FF"/>
          </w:rPr>
          <w:t>ГрК</w:t>
        </w:r>
      </w:hyperlink>
      <w:r>
        <w:t xml:space="preserve"> РФ о членстве в саморегулируемой организации соответствующего вида.</w:t>
      </w:r>
    </w:p>
    <w:p w:rsidR="00631E8C" w:rsidRDefault="00631E8C">
      <w:pPr>
        <w:pStyle w:val="ConsPlusNormal"/>
        <w:spacing w:before="220"/>
        <w:ind w:firstLine="540"/>
        <w:jc w:val="both"/>
      </w:pPr>
      <w:r>
        <w:t xml:space="preserve">В соответствии с </w:t>
      </w:r>
      <w:hyperlink r:id="rId23">
        <w:r>
          <w:rPr>
            <w:color w:val="0000FF"/>
          </w:rPr>
          <w:t>пунктом 2</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письма федеральных органов исполнительной власти не являются нормативными правовыми актами. Письма Минстроя России и его структурных подразделений, в которых разъясняются вопросы применения нормативных правовых актов, не содержат правовых норм, не направлены на установление, изменение или отмену правовых норм,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w:t>
      </w:r>
    </w:p>
    <w:p w:rsidR="00631E8C" w:rsidRDefault="00631E8C">
      <w:pPr>
        <w:pStyle w:val="ConsPlusNormal"/>
        <w:ind w:firstLine="540"/>
        <w:jc w:val="both"/>
      </w:pPr>
    </w:p>
    <w:p w:rsidR="00631E8C" w:rsidRDefault="00631E8C">
      <w:pPr>
        <w:pStyle w:val="ConsPlusNormal"/>
        <w:jc w:val="right"/>
      </w:pPr>
      <w:r>
        <w:t>Заместитель директора</w:t>
      </w:r>
    </w:p>
    <w:p w:rsidR="00631E8C" w:rsidRDefault="00631E8C">
      <w:pPr>
        <w:pStyle w:val="ConsPlusNormal"/>
        <w:jc w:val="right"/>
      </w:pPr>
      <w:r>
        <w:t xml:space="preserve">Департамента </w:t>
      </w:r>
      <w:proofErr w:type="gramStart"/>
      <w:r>
        <w:t>градостроительной</w:t>
      </w:r>
      <w:proofErr w:type="gramEnd"/>
    </w:p>
    <w:p w:rsidR="00631E8C" w:rsidRDefault="00631E8C">
      <w:pPr>
        <w:pStyle w:val="ConsPlusNormal"/>
        <w:jc w:val="right"/>
      </w:pPr>
      <w:r>
        <w:t>Деятельности и архитектуры</w:t>
      </w:r>
    </w:p>
    <w:p w:rsidR="00631E8C" w:rsidRDefault="00631E8C">
      <w:pPr>
        <w:pStyle w:val="ConsPlusNormal"/>
        <w:jc w:val="right"/>
      </w:pPr>
      <w:r>
        <w:t>О.А.ДАШКОВА</w:t>
      </w:r>
    </w:p>
    <w:p w:rsidR="00631E8C" w:rsidRDefault="00631E8C">
      <w:pPr>
        <w:pStyle w:val="ConsPlusNormal"/>
        <w:jc w:val="both"/>
      </w:pPr>
    </w:p>
    <w:p w:rsidR="00631E8C" w:rsidRDefault="00631E8C">
      <w:pPr>
        <w:pStyle w:val="ConsPlusNormal"/>
        <w:jc w:val="both"/>
      </w:pPr>
    </w:p>
    <w:p w:rsidR="00631E8C" w:rsidRDefault="00631E8C">
      <w:pPr>
        <w:pStyle w:val="ConsPlusNormal"/>
        <w:pBdr>
          <w:bottom w:val="single" w:sz="6" w:space="0" w:color="auto"/>
        </w:pBdr>
        <w:spacing w:before="100" w:after="100"/>
        <w:jc w:val="both"/>
        <w:rPr>
          <w:sz w:val="2"/>
          <w:szCs w:val="2"/>
        </w:rPr>
      </w:pPr>
    </w:p>
    <w:p w:rsidR="009B53EA" w:rsidRDefault="009B53EA">
      <w:bookmarkStart w:id="0" w:name="_GoBack"/>
      <w:bookmarkEnd w:id="0"/>
    </w:p>
    <w:sectPr w:rsidR="009B53EA" w:rsidSect="001153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8C"/>
    <w:rsid w:val="00631E8C"/>
    <w:rsid w:val="009B5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1E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31E8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31E8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1E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31E8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31E8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9678&amp;dst=3070" TargetMode="External"/><Relationship Id="rId13" Type="http://schemas.openxmlformats.org/officeDocument/2006/relationships/hyperlink" Target="https://login.consultant.ru/link/?req=doc&amp;base=LAW&amp;n=529678&amp;dst=4866" TargetMode="External"/><Relationship Id="rId18" Type="http://schemas.openxmlformats.org/officeDocument/2006/relationships/hyperlink" Target="https://login.consultant.ru/link/?req=doc&amp;base=LAW&amp;n=529678&amp;dst=4947" TargetMode="External"/><Relationship Id="rId3" Type="http://schemas.openxmlformats.org/officeDocument/2006/relationships/settings" Target="settings.xml"/><Relationship Id="rId21" Type="http://schemas.openxmlformats.org/officeDocument/2006/relationships/hyperlink" Target="https://login.consultant.ru/link/?req=doc&amp;base=LAW&amp;n=418026&amp;dst=100712" TargetMode="External"/><Relationship Id="rId7" Type="http://schemas.openxmlformats.org/officeDocument/2006/relationships/hyperlink" Target="https://login.consultant.ru/link/?req=doc&amp;base=LAW&amp;n=436423&amp;dst=100259" TargetMode="External"/><Relationship Id="rId12" Type="http://schemas.openxmlformats.org/officeDocument/2006/relationships/hyperlink" Target="https://login.consultant.ru/link/?req=doc&amp;base=LAW&amp;n=529678&amp;dst=1709" TargetMode="External"/><Relationship Id="rId17" Type="http://schemas.openxmlformats.org/officeDocument/2006/relationships/hyperlink" Target="https://login.consultant.ru/link/?req=doc&amp;base=LAW&amp;n=529678&amp;dst=3925"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529678&amp;dst=3920" TargetMode="External"/><Relationship Id="rId20" Type="http://schemas.openxmlformats.org/officeDocument/2006/relationships/hyperlink" Target="https://login.consultant.ru/link/?req=doc&amp;base=LAW&amp;n=529678&amp;dst=3932" TargetMode="External"/><Relationship Id="rId1" Type="http://schemas.openxmlformats.org/officeDocument/2006/relationships/styles" Target="styles.xml"/><Relationship Id="rId6" Type="http://schemas.openxmlformats.org/officeDocument/2006/relationships/hyperlink" Target="https://login.consultant.ru/link/?req=doc&amp;base=LAW&amp;n=436423&amp;dst=100258" TargetMode="External"/><Relationship Id="rId11" Type="http://schemas.openxmlformats.org/officeDocument/2006/relationships/hyperlink" Target="https://login.consultant.ru/link/?req=doc&amp;base=LAW&amp;n=529678&amp;dst=2433" TargetMode="External"/><Relationship Id="rId24"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29678&amp;dst=1695" TargetMode="External"/><Relationship Id="rId23" Type="http://schemas.openxmlformats.org/officeDocument/2006/relationships/hyperlink" Target="https://login.consultant.ru/link/?req=doc&amp;base=LAW&amp;n=490536&amp;dst=157" TargetMode="External"/><Relationship Id="rId10" Type="http://schemas.openxmlformats.org/officeDocument/2006/relationships/hyperlink" Target="https://login.consultant.ru/link/?req=doc&amp;base=LAW&amp;n=529678&amp;dst=1709" TargetMode="External"/><Relationship Id="rId19" Type="http://schemas.openxmlformats.org/officeDocument/2006/relationships/hyperlink" Target="https://login.consultant.ru/link/?req=doc&amp;base=LAW&amp;n=529678&amp;dst=393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9678" TargetMode="External"/><Relationship Id="rId14" Type="http://schemas.openxmlformats.org/officeDocument/2006/relationships/hyperlink" Target="https://login.consultant.ru/link/?req=doc&amp;base=LAW&amp;n=529678&amp;dst=1697" TargetMode="External"/><Relationship Id="rId22" Type="http://schemas.openxmlformats.org/officeDocument/2006/relationships/hyperlink" Target="https://login.consultant.ru/link/?req=doc&amp;base=LAW&amp;n=5296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1129</Words>
  <Characters>6438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2026-05-13T09:16:00Z</dcterms:created>
  <dcterms:modified xsi:type="dcterms:W3CDTF">2026-05-13T09:16:00Z</dcterms:modified>
</cp:coreProperties>
</file>