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75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  <w:rtl w:val="0"/>
        </w:rPr>
        <w:t xml:space="preserve">В соответствии с частью 1.1 статьи 52 Градостроительного кодекса Российской Федерации (введена Федеральным законом от 31.07.2020 г. № 264-ФЗ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Федерации») до выдачи разрешения на строительство объекта федерального значения, объекта регионального значения, объекта местного значения подготовительные работы, не причиняющие существенного вреда окружающей среде и ее компонентам, могут выполняться со дня направления проектной документации указанных объектов на экспертизу такой проектной документации.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75" w:before="375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d4d4f"/>
          <w:sz w:val="21"/>
          <w:szCs w:val="21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  <w:rtl w:val="0"/>
        </w:rPr>
        <w:t xml:space="preserve">Установление перечня видов таких работ, порядка их выполнения и экологические требования к их выполнению указанным Федеральным законом отнесено к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1155cc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полномочиям </w:t>
        </w:r>
      </w:hyperlink>
      <w:hyperlink r:id="rId7">
        <w:r w:rsidDel="00000000" w:rsidR="00000000" w:rsidRPr="00000000">
          <w:rPr>
            <w:rFonts w:ascii="Helvetica Neue" w:cs="Helvetica Neue" w:eastAsia="Helvetica Neue" w:hAnsi="Helvetica Neue"/>
            <w:b w:val="1"/>
            <w:i w:val="1"/>
            <w:smallCaps w:val="0"/>
            <w:strike w:val="0"/>
            <w:color w:val="1155cc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Правительства Российской Федерации</w:t>
        </w:r>
      </w:hyperlink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6091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75" w:before="375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  <w:rtl w:val="0"/>
        </w:rPr>
        <w:t xml:space="preserve">Указанным документом к подготовительным работам, которые могут выполняться до выдачи разрешения на строительство отнесены: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75" w:before="375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  <w:rtl w:val="0"/>
        </w:rPr>
        <w:t xml:space="preserve">– подготовка земельного участка, на котором предполагается строительство (освобождение от деревьев, снос объектов, обращение с отходами);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75" w:before="375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  <w:rtl w:val="0"/>
        </w:rPr>
        <w:t xml:space="preserve">– устройство ограждения строительной площадки;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75" w:before="375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  <w:rtl w:val="0"/>
        </w:rPr>
        <w:t xml:space="preserve">– выполнение работ по созданию геодезической разбивочной основы для строительства;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75" w:before="375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  <w:rtl w:val="0"/>
        </w:rPr>
        <w:t xml:space="preserve">– размещение некапитальных строений и сооружений;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75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d4d4f"/>
          <w:sz w:val="21"/>
          <w:szCs w:val="21"/>
          <w:u w:val="none"/>
          <w:shd w:fill="auto" w:val="clear"/>
          <w:vertAlign w:val="baseline"/>
          <w:rtl w:val="0"/>
        </w:rPr>
        <w:t xml:space="preserve">– устройство: временных дорог и подъездных путей, временных сетей инженерно-технического обеспечения, рельсовых подкрановых путей, фундаментов стационарных кранов, дренажей и мелкозаглубленных водоотливов.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government.ru/docs/all/130787/" TargetMode="External"/><Relationship Id="rId7" Type="http://schemas.openxmlformats.org/officeDocument/2006/relationships/hyperlink" Target="http://government.ru/docs/all/130787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