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7BBC" w14:textId="265F7F8F" w:rsidR="00534735" w:rsidRPr="00D26BAA" w:rsidRDefault="00534735" w:rsidP="007212F0">
      <w:pPr>
        <w:pStyle w:val="a3"/>
        <w:spacing w:before="0" w:after="0"/>
        <w:rPr>
          <w:snapToGrid w:val="0"/>
          <w:szCs w:val="28"/>
        </w:rPr>
      </w:pPr>
      <w:r w:rsidRPr="00D26BAA">
        <w:rPr>
          <w:snapToGrid w:val="0"/>
          <w:szCs w:val="28"/>
        </w:rPr>
        <w:t>П</w:t>
      </w:r>
      <w:r w:rsidR="00D26BAA" w:rsidRPr="00D26BAA">
        <w:rPr>
          <w:snapToGrid w:val="0"/>
          <w:szCs w:val="28"/>
        </w:rPr>
        <w:t>ОЯСНИТЕЛЬНАЯ ЗАПИСКА</w:t>
      </w:r>
    </w:p>
    <w:p w14:paraId="661BAB24" w14:textId="77777777" w:rsidR="00D26BAA" w:rsidRPr="00D26BAA" w:rsidRDefault="00D26BAA" w:rsidP="00D26BAA">
      <w:pPr>
        <w:rPr>
          <w:sz w:val="10"/>
          <w:szCs w:val="10"/>
          <w:lang w:eastAsia="ru-RU"/>
        </w:rPr>
      </w:pPr>
    </w:p>
    <w:p w14:paraId="4DAAA9A1" w14:textId="398E28E8" w:rsidR="00534735" w:rsidRDefault="00534735" w:rsidP="00534735">
      <w:pPr>
        <w:pStyle w:val="a3"/>
        <w:spacing w:before="0" w:after="0"/>
        <w:rPr>
          <w:snapToGrid w:val="0"/>
        </w:rPr>
      </w:pPr>
      <w:r>
        <w:rPr>
          <w:snapToGrid w:val="0"/>
        </w:rPr>
        <w:t xml:space="preserve">к </w:t>
      </w:r>
      <w:r w:rsidRPr="009553D7">
        <w:rPr>
          <w:snapToGrid w:val="0"/>
        </w:rPr>
        <w:t>Стратеги</w:t>
      </w:r>
      <w:r>
        <w:rPr>
          <w:snapToGrid w:val="0"/>
        </w:rPr>
        <w:t>и</w:t>
      </w:r>
      <w:r w:rsidRPr="009553D7">
        <w:rPr>
          <w:snapToGrid w:val="0"/>
        </w:rPr>
        <w:t xml:space="preserve"> развития строительной отрасли </w:t>
      </w:r>
      <w:r>
        <w:rPr>
          <w:snapToGrid w:val="0"/>
        </w:rPr>
        <w:t xml:space="preserve">и жилищно-коммунального хозяйства </w:t>
      </w:r>
      <w:r w:rsidRPr="009553D7">
        <w:rPr>
          <w:snapToGrid w:val="0"/>
        </w:rPr>
        <w:t>Российской Федерации до</w:t>
      </w:r>
      <w:r>
        <w:rPr>
          <w:snapToGrid w:val="0"/>
        </w:rPr>
        <w:t> </w:t>
      </w:r>
      <w:r w:rsidRPr="009553D7">
        <w:rPr>
          <w:snapToGrid w:val="0"/>
        </w:rPr>
        <w:t>203</w:t>
      </w:r>
      <w:r>
        <w:rPr>
          <w:snapToGrid w:val="0"/>
        </w:rPr>
        <w:t>5</w:t>
      </w:r>
      <w:r w:rsidRPr="009553D7">
        <w:rPr>
          <w:snapToGrid w:val="0"/>
        </w:rPr>
        <w:t xml:space="preserve"> года</w:t>
      </w:r>
    </w:p>
    <w:p w14:paraId="58AA9AFB" w14:textId="24086175" w:rsidR="00534735" w:rsidRDefault="00534735"/>
    <w:p w14:paraId="708F89E9" w14:textId="4DB0AAED" w:rsidR="00534735" w:rsidRPr="00534735" w:rsidRDefault="00534735" w:rsidP="005347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34735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проекта акта</w:t>
      </w:r>
    </w:p>
    <w:p w14:paraId="4C95416C" w14:textId="4263A162" w:rsidR="00735727" w:rsidRDefault="009C4C3D" w:rsidP="0073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Стратегии развития строительной отрасли и жилищно-коммунального хозяйства Российской Федерации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2035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Стратегия) подготовлен </w:t>
      </w:r>
      <w:r w:rsidR="00735727">
        <w:rPr>
          <w:rFonts w:ascii="Times New Roman" w:hAnsi="Times New Roman" w:cs="Times New Roman"/>
          <w:sz w:val="28"/>
          <w:szCs w:val="28"/>
          <w:lang w:eastAsia="ru-RU"/>
        </w:rPr>
        <w:t>Министерством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представителей профессионального сообщества</w:t>
      </w:r>
      <w:r w:rsidR="007357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DA4B6AD" w14:textId="13D6B885" w:rsidR="00306360" w:rsidRDefault="00735727" w:rsidP="0073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Стратегии учтены положения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я 20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C4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9C4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4 «О национальных целях развития Российской Федерации на период до 20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проекта е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диного плана по достижению национальных целей развития Российской Федерации на период до 20</w:t>
      </w:r>
      <w:r w:rsidR="008C5CC6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 xml:space="preserve"> года, Стратегии пространственного развития Российской Федерации, 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>Стратеги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научно-технологического развития Российской Федерации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>Транспортн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на период до 2030 года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>Стратеги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промышленности строительных материалов на период до 2020 года и дальнейшую перспективу до 2030 года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0E6D" w:rsidRPr="00C20E6D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C4C3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20E6D" w:rsidRPr="00C20E6D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</w:t>
      </w:r>
      <w:r w:rsidR="009C4C3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20E6D" w:rsidRPr="00C20E6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</w:t>
      </w:r>
      <w:r w:rsidR="009C4C3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20E6D" w:rsidRPr="00C20E6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территорий,</w:t>
      </w:r>
      <w:r w:rsidR="00C20E6D">
        <w:rPr>
          <w:lang w:eastAsia="ru-RU"/>
        </w:rPr>
        <w:t xml:space="preserve"> 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>Прогноз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06360" w:rsidRPr="0030636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Российской Федерации на период до 2036 года</w:t>
      </w:r>
      <w:r w:rsidR="00306360">
        <w:rPr>
          <w:rFonts w:ascii="Times New Roman" w:hAnsi="Times New Roman" w:cs="Times New Roman"/>
          <w:sz w:val="28"/>
          <w:szCs w:val="28"/>
          <w:lang w:eastAsia="ru-RU"/>
        </w:rPr>
        <w:t xml:space="preserve"> и положений документов стратегического планирования развития Российской Федерации, характеризующих развитие отраслей экономики Российской Федерации, а также социально-экономическое развитие макрорегионов.</w:t>
      </w:r>
    </w:p>
    <w:p w14:paraId="6862B06B" w14:textId="47E6015B" w:rsidR="00735727" w:rsidRDefault="00306360" w:rsidP="0073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Стратегии, являющейся межотраслевой для совокупности отраслей </w:t>
      </w:r>
      <w:r w:rsidR="004B525D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экономики, </w:t>
      </w:r>
      <w:r w:rsidR="00730A43">
        <w:rPr>
          <w:rFonts w:ascii="Times New Roman" w:hAnsi="Times New Roman" w:cs="Times New Roman"/>
          <w:sz w:val="28"/>
          <w:szCs w:val="28"/>
          <w:lang w:eastAsia="ru-RU"/>
        </w:rPr>
        <w:t xml:space="preserve">будет способствовать созданию </w:t>
      </w:r>
      <w:r w:rsidR="004B3102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планирования и регулирования строительной </w:t>
      </w:r>
      <w:r w:rsidR="004B525D">
        <w:rPr>
          <w:rFonts w:ascii="Times New Roman" w:hAnsi="Times New Roman" w:cs="Times New Roman"/>
          <w:sz w:val="28"/>
          <w:szCs w:val="28"/>
          <w:lang w:eastAsia="ru-RU"/>
        </w:rPr>
        <w:t>отрасли</w:t>
      </w:r>
      <w:r w:rsidR="004B3102" w:rsidRPr="004B3102">
        <w:rPr>
          <w:rFonts w:ascii="Times New Roman" w:hAnsi="Times New Roman" w:cs="Times New Roman"/>
          <w:sz w:val="28"/>
          <w:szCs w:val="28"/>
          <w:lang w:eastAsia="ru-RU"/>
        </w:rPr>
        <w:t xml:space="preserve">, связанной с комплексной градостроительной деятельностью предприятий, организаций и индивидуальных предпринимателей, включающей: подготовку </w:t>
      </w:r>
      <w:r w:rsidR="004B3102" w:rsidRPr="004B3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градостроительных решений, территориальное планирование, градостроительное зонирование, планировку территории, выполнение изыскательских работ и архитектурно-строительного проектирования, осуществление строительной деятельности</w:t>
      </w:r>
      <w:r w:rsidR="00730A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B54609" w14:textId="2ADA25FF" w:rsidR="004B525D" w:rsidRDefault="004B525D" w:rsidP="0073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принятие Стратегии будет способствовать регулированию вопросов, </w:t>
      </w:r>
      <w:r w:rsidRPr="004B525D">
        <w:rPr>
          <w:rFonts w:ascii="Times New Roman" w:hAnsi="Times New Roman" w:cs="Times New Roman"/>
          <w:sz w:val="28"/>
          <w:szCs w:val="28"/>
          <w:lang w:eastAsia="ru-RU"/>
        </w:rPr>
        <w:t>связанны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с содержанием объектов недвижимости, включая объекты жилищно-коммунального хозяйства в застройке городов, иных поселений, </w:t>
      </w:r>
      <w:r w:rsidRPr="004B525D">
        <w:rPr>
          <w:rFonts w:ascii="Times New Roman" w:hAnsi="Times New Roman" w:cs="Times New Roman"/>
          <w:sz w:val="28"/>
          <w:szCs w:val="28"/>
          <w:lang w:eastAsia="ru-RU"/>
        </w:rPr>
        <w:t>с управлением многоквартирными домами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525D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капитальным ремонтом общего имущества в МКД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525D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обслуживанием городских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525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осуществлением деятельности в сфере предоставления коммунальных услуг – теплоснабжения, горячего водоснабжения, холодного водоснабжения, водоотведения, электроснабжения и газоснабжения.</w:t>
      </w:r>
    </w:p>
    <w:p w14:paraId="16FB6051" w14:textId="3DF9183F" w:rsidR="007E3D7F" w:rsidRPr="007E3D7F" w:rsidRDefault="007E3D7F" w:rsidP="007E3D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Стратегии р</w:t>
      </w:r>
      <w:r w:rsidRPr="007E3D7F">
        <w:rPr>
          <w:rFonts w:ascii="Times New Roman" w:hAnsi="Times New Roman" w:cs="Times New Roman"/>
          <w:sz w:val="28"/>
          <w:szCs w:val="28"/>
          <w:lang w:eastAsia="ru-RU"/>
        </w:rPr>
        <w:t>егулирование строительной отрасли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E3D7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в сфере ЖКХ рассматривается с использованием технологий информационного моделирования в </w:t>
      </w:r>
      <w:r w:rsidR="00560F2A">
        <w:rPr>
          <w:rFonts w:ascii="Times New Roman" w:hAnsi="Times New Roman" w:cs="Times New Roman"/>
          <w:sz w:val="28"/>
          <w:szCs w:val="28"/>
          <w:lang w:eastAsia="ru-RU"/>
        </w:rPr>
        <w:t>парадигме</w:t>
      </w:r>
      <w:r w:rsidR="008D4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3D7F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перехода на единую систему управления объектами капитального строительства на всем протяжении жизненного цикла – от обоснования инвестиций до </w:t>
      </w:r>
      <w:r w:rsidR="00560F2A">
        <w:rPr>
          <w:rFonts w:ascii="Times New Roman" w:hAnsi="Times New Roman" w:cs="Times New Roman"/>
          <w:sz w:val="28"/>
          <w:szCs w:val="28"/>
          <w:lang w:eastAsia="ru-RU"/>
        </w:rPr>
        <w:t>сноса</w:t>
      </w:r>
      <w:r w:rsidRPr="007E3D7F">
        <w:rPr>
          <w:rFonts w:ascii="Times New Roman" w:hAnsi="Times New Roman" w:cs="Times New Roman"/>
          <w:sz w:val="28"/>
          <w:szCs w:val="28"/>
          <w:lang w:eastAsia="ru-RU"/>
        </w:rPr>
        <w:t xml:space="preserve"> и утилизации объекта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4F6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2E68">
        <w:rPr>
          <w:rFonts w:ascii="Times New Roman" w:hAnsi="Times New Roman" w:cs="Times New Roman"/>
          <w:sz w:val="28"/>
          <w:szCs w:val="28"/>
          <w:lang w:eastAsia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устойчивой системы обращения с твердыми бытовыми отходами</w:t>
      </w:r>
      <w:r w:rsidR="008D4F6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E3D7F">
        <w:rPr>
          <w:rFonts w:ascii="Times New Roman" w:hAnsi="Times New Roman" w:cs="Times New Roman"/>
          <w:sz w:val="28"/>
          <w:szCs w:val="28"/>
        </w:rPr>
        <w:t>.</w:t>
      </w:r>
    </w:p>
    <w:p w14:paraId="7A848B9D" w14:textId="017B8EA9" w:rsidR="00534735" w:rsidRPr="00534735" w:rsidRDefault="00534735" w:rsidP="005347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35">
        <w:rPr>
          <w:rFonts w:ascii="Times New Roman" w:hAnsi="Times New Roman" w:cs="Times New Roman"/>
          <w:b/>
          <w:bCs/>
          <w:sz w:val="28"/>
          <w:szCs w:val="28"/>
        </w:rPr>
        <w:t>2. Описание проблемы, на решение которой направлен проект документа. Обоснование предлагаемых решений и ожидаемые результаты.</w:t>
      </w:r>
    </w:p>
    <w:p w14:paraId="028B26CB" w14:textId="286C222F" w:rsidR="00735727" w:rsidRPr="00735727" w:rsidRDefault="00735727" w:rsidP="0073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Стратегия развития строительной отрасли </w:t>
      </w:r>
      <w:r w:rsidRPr="00735727">
        <w:rPr>
          <w:rFonts w:ascii="Times New Roman" w:hAnsi="Times New Roman" w:cs="Times New Roman"/>
          <w:snapToGrid w:val="0"/>
          <w:sz w:val="28"/>
          <w:szCs w:val="28"/>
        </w:rPr>
        <w:t>и жилищно-коммунального хозяйства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до 2035 года </w:t>
      </w:r>
      <w:r w:rsidRPr="00735727">
        <w:rPr>
          <w:rFonts w:ascii="Times New Roman" w:hAnsi="Times New Roman" w:cs="Times New Roman"/>
          <w:sz w:val="28"/>
          <w:szCs w:val="28"/>
        </w:rPr>
        <w:t>подготовлена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C36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строительства и жилищно-коммунального хозяйства Российской Федерации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 («дорожной картой»)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2018–2020 годы,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утвержденным распоряжением Правительства Российской Федерации от 16 августа 2018 г. № 1697-р</w:t>
      </w:r>
      <w:r w:rsidR="00E117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7131766" w14:textId="027566AC" w:rsidR="00535876" w:rsidRPr="00535876" w:rsidRDefault="007F6BC0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проблема, на решение которой направлен проект Стратегии – это повышение качества государственной политики при решении вопросов </w:t>
      </w:r>
      <w:r w:rsidRPr="00583CE8">
        <w:rPr>
          <w:rFonts w:ascii="Times New Roman" w:hAnsi="Times New Roman" w:cs="Times New Roman"/>
          <w:sz w:val="28"/>
          <w:szCs w:val="28"/>
          <w:lang w:eastAsia="ru-RU"/>
        </w:rPr>
        <w:t>нормативного регулирования общественных отношений в 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троительстве и жилищно-коммунальном хозяйстве.</w:t>
      </w:r>
    </w:p>
    <w:p w14:paraId="28BC28F6" w14:textId="1F3A651B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Негативные макроэкономические тенденции</w:t>
      </w:r>
      <w:r w:rsidR="00804F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сокращение реальных располагаемых доходов населения, дорого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визна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банковск</w:t>
      </w:r>
      <w:r w:rsidR="00804F0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кредитования жилищного строительства при введении системы счетов эскроу, создали проблему торможения</w:t>
      </w:r>
      <w:r w:rsidRPr="009C4C3D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спроса на жилье в МКД и роста </w:t>
      </w:r>
      <w:r w:rsidR="00804F0C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стоимости.</w:t>
      </w:r>
    </w:p>
    <w:p w14:paraId="557C2D26" w14:textId="6164904A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Противодействовать задаче повышения рождаемости и роста численности населения страны стали такие проблемы как: отвлечение средств населения на строительств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домов с апартаментами без обеспечения жилищных прав граждан, их безопасности и комфорт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проживания; 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стоимости квартир в МКД 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уменьше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05270B"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средни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размер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квартир (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51-52 кв. м. общей площади жилья) и количеств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комнат (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1-2 комнат</w:t>
      </w:r>
      <w:r w:rsidR="0005270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DCE519" w14:textId="2126A296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Проблемы градостроительства и системы расселения страны связаны с нерациональным использованием земельного фонда, что привело к опустыниванию одних территорий и сверхконцентрации населения на других территориях (в пределах 1% территории) страны</w:t>
      </w:r>
      <w:r w:rsidR="007212F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с неполным соответствием отдельных положений Градостроительного кодекса Российской Федерации нормам Конституции Российской Федерации, что ограничивает влияние государственных органов исполнительной власти Российской Федерации и субъектов федерации на развитие целостной системы расселения населения страны, а также регулирование жилищной и земельной политики при градостроительной деятельности в муниципальных образованиях. </w:t>
      </w:r>
    </w:p>
    <w:p w14:paraId="104D9ED7" w14:textId="221DA2AD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Рост объемов ввода жилья, предусмотренный национальным проектом «Жилье и городская среда», при развитии </w:t>
      </w:r>
      <w:r w:rsidR="00C80D51">
        <w:rPr>
          <w:rFonts w:ascii="Times New Roman" w:hAnsi="Times New Roman" w:cs="Times New Roman"/>
          <w:sz w:val="28"/>
          <w:szCs w:val="28"/>
          <w:lang w:eastAsia="ru-RU"/>
        </w:rPr>
        <w:t xml:space="preserve">ИЖС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с сопутствующими объектами инфраструктуры и приложения труда потребуют значительного 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увеличения площади градостроительно подготовленных территорий для застройки. </w:t>
      </w:r>
    </w:p>
    <w:p w14:paraId="0CD35EC6" w14:textId="61E89063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Сфера ЖКХ по субъектам Российской Федерации и муниципальным образованиям находится в различном состоянии и характеризуется монополизмом ресурсоснабжающих организаций ЖКХ</w:t>
      </w:r>
      <w:r w:rsidR="007212F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4C3D">
        <w:rPr>
          <w:rFonts w:ascii="Times New Roman" w:hAnsi="Times New Roman" w:cs="Times New Roman"/>
          <w:sz w:val="28"/>
          <w:szCs w:val="28"/>
          <w:lang w:eastAsia="ru-RU"/>
        </w:rPr>
        <w:t xml:space="preserve"> сложностью перевода этой сферы на самоокупаемость, самофинансирование и самоуправление.</w:t>
      </w:r>
    </w:p>
    <w:p w14:paraId="393350BD" w14:textId="22653666" w:rsidR="00BF73CA" w:rsidRPr="00BF73CA" w:rsidRDefault="00BF73CA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3CA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Финансовые ограничения развития ЖКХ, связанные с бедностью отдельных групп населения </w:t>
      </w:r>
      <w:r w:rsidR="007212F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BF73CA">
        <w:rPr>
          <w:rFonts w:ascii="Times New Roman" w:hAnsi="Times New Roman" w:cs="Times New Roman"/>
          <w:sz w:val="28"/>
          <w:szCs w:val="28"/>
          <w:lang w:eastAsia="ru-RU"/>
        </w:rPr>
        <w:t xml:space="preserve"> оплат</w:t>
      </w:r>
      <w:r w:rsidR="007212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F73CA">
        <w:rPr>
          <w:rFonts w:ascii="Times New Roman" w:hAnsi="Times New Roman" w:cs="Times New Roman"/>
          <w:sz w:val="28"/>
          <w:szCs w:val="28"/>
          <w:lang w:eastAsia="ru-RU"/>
        </w:rPr>
        <w:t xml:space="preserve"> услуг ЖКХ, с сохранением перекрестного субсидирования населения предприятиями, приводят к недостаточности инвестиций и механизмов привлечения внебюджетных средств для модернизации и развития систем ЖКХ, задержке реформ по адресной поддержке всех бедных слоев населения в виде адресных субсидий при оплате услуг ЖКХ, неэффективности деятельности управляющих компаний и дефициту кадров. </w:t>
      </w:r>
    </w:p>
    <w:p w14:paraId="028E689F" w14:textId="77777777" w:rsidR="009C4C3D" w:rsidRPr="009C4C3D" w:rsidRDefault="009C4C3D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В целом проблемами в строительстве и ЖКХ являются незавершенность реформ в системах подрядных торгов, подготовки кадров, ценообразования, технического регулирования, задержка дальнейшего развития институтов гражданского общества, сохранение и нередко наращивание административных барьеров, тормозящих развитие экономики страны. На торможение темпов развития строительной отрасли и ЖКХ оказывают чрезвычайные ситуации и эпидемиологические угрозы.</w:t>
      </w:r>
    </w:p>
    <w:p w14:paraId="2EB8CDA8" w14:textId="61F517DE" w:rsidR="00963443" w:rsidRDefault="009C4C3D" w:rsidP="009C4C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C3D">
        <w:rPr>
          <w:rFonts w:ascii="Times New Roman" w:hAnsi="Times New Roman" w:cs="Times New Roman"/>
          <w:sz w:val="28"/>
          <w:szCs w:val="28"/>
          <w:lang w:eastAsia="ru-RU"/>
        </w:rPr>
        <w:t>Вместе с тем, опыт 2020 года показал устойчивость строительной отрасли и ЖКХ к неблагоприятным внешним воздействиям, в том числе, связанным с преодолением влияния на экономику страны пандемии Ковид. В жилищном строительстве удалось сохранить общие объемы ввода жилья, благодаря росту вложений средств населения в строительство домов ИЖС.</w:t>
      </w:r>
    </w:p>
    <w:p w14:paraId="38152560" w14:textId="3CD0AB11" w:rsidR="00534735" w:rsidRPr="00534735" w:rsidRDefault="00534735" w:rsidP="005347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35">
        <w:rPr>
          <w:rFonts w:ascii="Times New Roman" w:hAnsi="Times New Roman" w:cs="Times New Roman"/>
          <w:b/>
          <w:bCs/>
          <w:sz w:val="28"/>
          <w:szCs w:val="28"/>
        </w:rPr>
        <w:t xml:space="preserve">3. Оценка соответствия проекта документа Указу Президента Российской Федерации от 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53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Pr="00534735">
        <w:rPr>
          <w:rFonts w:ascii="Times New Roman" w:hAnsi="Times New Roman" w:cs="Times New Roman"/>
          <w:b/>
          <w:bCs/>
          <w:sz w:val="28"/>
          <w:szCs w:val="28"/>
        </w:rPr>
        <w:t>я 20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34735"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534735">
        <w:rPr>
          <w:rFonts w:ascii="Times New Roman" w:hAnsi="Times New Roman" w:cs="Times New Roman"/>
          <w:b/>
          <w:bCs/>
          <w:sz w:val="28"/>
          <w:szCs w:val="28"/>
        </w:rPr>
        <w:t>4 «О национальных целях развития Российской Федерации на период до 20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34735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6F62B048" w14:textId="373CCE6D" w:rsidR="006C783C" w:rsidRPr="006C783C" w:rsidRDefault="006C783C" w:rsidP="006C7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  <w:r w:rsidRPr="006C783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6C783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оложениям</w:t>
      </w:r>
      <w:r w:rsidRPr="006C783C">
        <w:rPr>
          <w:rFonts w:ascii="Times New Roman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C783C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 w:rsidR="008C5CC6" w:rsidRPr="008C5CC6">
        <w:rPr>
          <w:rFonts w:ascii="Times New Roman" w:hAnsi="Times New Roman" w:cs="Times New Roman"/>
          <w:sz w:val="28"/>
          <w:szCs w:val="28"/>
        </w:rPr>
        <w:t>21 июля 2020 № 474 «О национальных целях развития Российской Федерации на период до 2030 года»</w:t>
      </w:r>
      <w:r w:rsidR="008C5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Основным направлениям деятельности Правительства Российской Федерации на период до 2024 года, утвержденным Председателем Правительства Российской Федерации.</w:t>
      </w:r>
    </w:p>
    <w:p w14:paraId="55AFD63D" w14:textId="0E62F3EA" w:rsidR="008C5CC6" w:rsidRDefault="006C783C" w:rsidP="000C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Основное направление проекта документа – это</w:t>
      </w:r>
      <w:r w:rsidR="00A946E1" w:rsidRPr="00A946E1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A946E1">
        <w:rPr>
          <w:rFonts w:ascii="Times New Roman" w:hAnsi="Times New Roman" w:cs="Times New Roman"/>
          <w:sz w:val="28"/>
          <w:szCs w:val="28"/>
        </w:rPr>
        <w:t>е</w:t>
      </w:r>
      <w:r w:rsidR="00A946E1" w:rsidRPr="00A946E1">
        <w:rPr>
          <w:rFonts w:ascii="Times New Roman" w:hAnsi="Times New Roman" w:cs="Times New Roman"/>
          <w:sz w:val="28"/>
          <w:szCs w:val="28"/>
        </w:rPr>
        <w:t xml:space="preserve"> национальной цели «Комфортная и безопасная среда для жизни» и задач национального проекта </w:t>
      </w:r>
      <w:r w:rsidR="001377D0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="008C5CC6" w:rsidRPr="000C5D5D">
        <w:rPr>
          <w:rFonts w:ascii="Times New Roman" w:hAnsi="Times New Roman" w:cs="Times New Roman"/>
          <w:sz w:val="28"/>
          <w:szCs w:val="28"/>
          <w:lang w:eastAsia="ru-RU"/>
        </w:rPr>
        <w:t>с достижением следующих установленных целевых показателей:</w:t>
      </w:r>
    </w:p>
    <w:p w14:paraId="053403FF" w14:textId="54D1B0AE" w:rsidR="00FC7AE0" w:rsidRPr="00FC7AE0" w:rsidRDefault="00FC7AE0" w:rsidP="00FC7AE0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AE0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жилищных условий не менее 5 млн семей в год, стимулирование рождаемости и увеличение численности населения страны за счет ввода ежегодно до 120 млн кв. м жилья и повышения объемов жилищного фонда путем развития всех видов строительства жилья, включая ИЖС, ЖК и ЖСК, механизмов проектного финансирования с использованием счетов эскроу, доступной ипотеки, системы ГЖС, «материнского капитала»; </w:t>
      </w:r>
    </w:p>
    <w:p w14:paraId="51D69196" w14:textId="1DF7D2A3" w:rsidR="00401336" w:rsidRPr="00401336" w:rsidRDefault="00401336" w:rsidP="00401336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336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в полтора раза качества среды проживания в городских и сельских поселениях путем </w:t>
      </w:r>
      <w:r w:rsidRPr="00401336">
        <w:rPr>
          <w:rFonts w:ascii="Times New Roman" w:hAnsi="Times New Roman" w:cs="Times New Roman"/>
          <w:sz w:val="28"/>
          <w:szCs w:val="28"/>
        </w:rPr>
        <w:t>градостроительного обеспечения строительства жилья, социальных и иных ОКС</w:t>
      </w:r>
      <w:r w:rsidRPr="00401336">
        <w:rPr>
          <w:rFonts w:ascii="Times New Roman" w:hAnsi="Times New Roman" w:cs="Times New Roman"/>
          <w:sz w:val="28"/>
          <w:szCs w:val="28"/>
          <w:lang w:eastAsia="ru-RU"/>
        </w:rPr>
        <w:t>, автомобильных стоянок, увеличения земель застройки и населенных пунктов, эффективного расселения населения страны и обеспечения связанности городов, иных поселений и их агломераций за счет развития обеспечения доли дорожной сети, соответствующей нормативным требованиям, на уровне не менее 85 процентов, иной инфраструктуры;</w:t>
      </w:r>
    </w:p>
    <w:p w14:paraId="724E7B42" w14:textId="4B2A799D" w:rsidR="00F53A8E" w:rsidRDefault="00B261A8" w:rsidP="00F53A8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>достойн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>, эффективн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 xml:space="preserve"> 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 xml:space="preserve"> и успешно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644E5" w:rsidRPr="00464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AF9">
        <w:rPr>
          <w:rFonts w:ascii="Times New Roman" w:hAnsi="Times New Roman" w:cs="Times New Roman"/>
          <w:sz w:val="28"/>
          <w:szCs w:val="28"/>
          <w:lang w:eastAsia="ru-RU"/>
        </w:rPr>
        <w:t>в строительной отрасли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D7B">
        <w:rPr>
          <w:rFonts w:ascii="Times New Roman" w:hAnsi="Times New Roman" w:cs="Times New Roman"/>
          <w:sz w:val="28"/>
          <w:szCs w:val="28"/>
          <w:lang w:eastAsia="ru-RU"/>
        </w:rPr>
        <w:t xml:space="preserve">и ЖКХ, 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совершенствования системы регулирования строительной отрасли</w:t>
      </w:r>
      <w:r w:rsidR="00707D7B">
        <w:rPr>
          <w:rFonts w:ascii="Times New Roman" w:hAnsi="Times New Roman" w:cs="Times New Roman"/>
          <w:sz w:val="28"/>
          <w:szCs w:val="28"/>
          <w:lang w:eastAsia="ru-RU"/>
        </w:rPr>
        <w:t xml:space="preserve"> и ЖКХ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>достижени</w:t>
      </w:r>
      <w:r w:rsidR="005273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3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>цифров</w:t>
      </w:r>
      <w:r w:rsidR="00527310">
        <w:rPr>
          <w:rFonts w:ascii="Times New Roman" w:hAnsi="Times New Roman" w:cs="Times New Roman"/>
          <w:sz w:val="28"/>
          <w:szCs w:val="28"/>
          <w:lang w:eastAsia="ru-RU"/>
        </w:rPr>
        <w:t>ой зрелости»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3A8E">
        <w:rPr>
          <w:rFonts w:ascii="Times New Roman" w:hAnsi="Times New Roman" w:cs="Times New Roman"/>
          <w:sz w:val="28"/>
          <w:szCs w:val="28"/>
          <w:lang w:eastAsia="ru-RU"/>
        </w:rPr>
        <w:t xml:space="preserve">на всех этапах жизненного цикла </w:t>
      </w:r>
      <w:r w:rsidR="001873B0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>добросовестной конкуренции,</w:t>
      </w:r>
      <w:r w:rsidR="00527310">
        <w:rPr>
          <w:rFonts w:ascii="Times New Roman" w:hAnsi="Times New Roman" w:cs="Times New Roman"/>
          <w:sz w:val="28"/>
          <w:szCs w:val="28"/>
          <w:lang w:eastAsia="ru-RU"/>
        </w:rPr>
        <w:t xml:space="preserve"> в то числе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731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малого и среднего предпринимательства;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уровня 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кадрового обеспечения</w:t>
      </w:r>
      <w:r w:rsidR="00E5065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перераспределения </w:t>
      </w:r>
      <w:r w:rsidR="00C54343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принципов регуляторной гильотины 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>полномочий между государством, бизнес-сообществом и гражданским обществом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F53A8E" w:rsidRPr="00464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>снижени</w:t>
      </w:r>
      <w:r w:rsidR="00F53A8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53A8E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на один год сроков реализации инвестиционно-строительных проектов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 xml:space="preserve"> при обеспечении безопасности </w:t>
      </w:r>
      <w:r w:rsidR="00707D7B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F53A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0A7AA0" w14:textId="2938E489" w:rsidR="001377D0" w:rsidRPr="001377D0" w:rsidRDefault="001377D0" w:rsidP="001377D0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устойчивого технологического развития ЖКХ и снижения износа основных фондов путем самофинансирования, самоокупаемости и конкуренции, ликвидации перекрестного субсидирования, сбалансированной тарифной политики, роста инвестиций в основной капитал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ЖКХ </w:t>
      </w:r>
      <w:r w:rsidRPr="001377D0">
        <w:rPr>
          <w:rFonts w:ascii="Times New Roman" w:hAnsi="Times New Roman" w:cs="Times New Roman"/>
          <w:sz w:val="28"/>
          <w:szCs w:val="28"/>
          <w:lang w:eastAsia="ru-RU"/>
        </w:rPr>
        <w:t>не менее чем на 70%, создания устойчивой системы обращения с твердыми бытовыми отходами, в том числе при сносе зданий аварийных и подлежащих реновации;</w:t>
      </w:r>
    </w:p>
    <w:p w14:paraId="430EFCC1" w14:textId="1EFEEFB2" w:rsidR="001377D0" w:rsidRDefault="00F53A8E" w:rsidP="001377D0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D0">
        <w:rPr>
          <w:rFonts w:ascii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комфортных </w:t>
      </w:r>
      <w:r w:rsidRPr="001377D0">
        <w:rPr>
          <w:rFonts w:ascii="Times New Roman" w:hAnsi="Times New Roman" w:cs="Times New Roman"/>
          <w:sz w:val="28"/>
          <w:szCs w:val="28"/>
          <w:lang w:eastAsia="ru-RU"/>
        </w:rPr>
        <w:t>услуг ЖКХ</w:t>
      </w:r>
      <w:r w:rsidRPr="008C5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4644E5" w:rsidRPr="008C5CC6">
        <w:rPr>
          <w:rFonts w:ascii="Times New Roman" w:hAnsi="Times New Roman" w:cs="Times New Roman"/>
          <w:sz w:val="28"/>
          <w:szCs w:val="28"/>
          <w:lang w:eastAsia="ru-RU"/>
        </w:rPr>
        <w:t>сохранени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44E5" w:rsidRPr="008C5CC6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4644E5" w:rsidRPr="008C5CC6">
        <w:rPr>
          <w:rFonts w:ascii="Times New Roman" w:hAnsi="Times New Roman" w:cs="Times New Roman"/>
          <w:sz w:val="28"/>
          <w:szCs w:val="28"/>
          <w:lang w:eastAsia="ru-RU"/>
        </w:rPr>
        <w:t>здоровь</w:t>
      </w:r>
      <w:r w:rsidR="004644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44E5" w:rsidRPr="008C5CC6">
        <w:rPr>
          <w:rFonts w:ascii="Times New Roman" w:hAnsi="Times New Roman" w:cs="Times New Roman"/>
          <w:sz w:val="28"/>
          <w:szCs w:val="28"/>
          <w:lang w:eastAsia="ru-RU"/>
        </w:rPr>
        <w:t xml:space="preserve"> и благополучи</w:t>
      </w:r>
      <w:r w:rsidR="004644E5">
        <w:rPr>
          <w:rFonts w:ascii="Times New Roman" w:hAnsi="Times New Roman" w:cs="Times New Roman"/>
          <w:sz w:val="28"/>
          <w:szCs w:val="28"/>
          <w:lang w:eastAsia="ru-RU"/>
        </w:rPr>
        <w:t>я путем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нуждающи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>ся в поддержке бедны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сло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адресны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</w:t>
      </w:r>
      <w:r w:rsidR="00C5434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по оплате услуг ЖКХ, развити</w:t>
      </w:r>
      <w:r w:rsidR="004644E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377D0" w:rsidRPr="001377D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собственников жилья в МКД, компетенций управляющих компаний, институтов ТСЖ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3E40A1" w14:textId="77777777" w:rsidR="009C4C3D" w:rsidRPr="009C4C3D" w:rsidRDefault="009C4C3D" w:rsidP="009C4C3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0DD3A088" w14:textId="633D9FCA" w:rsidR="00534735" w:rsidRPr="00534735" w:rsidRDefault="005347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35">
        <w:rPr>
          <w:rFonts w:ascii="Times New Roman" w:hAnsi="Times New Roman" w:cs="Times New Roman"/>
          <w:b/>
          <w:bCs/>
          <w:sz w:val="28"/>
          <w:szCs w:val="28"/>
        </w:rPr>
        <w:t>4. Оценка эффективности предлагаемых решений</w:t>
      </w:r>
    </w:p>
    <w:p w14:paraId="5FF4DE93" w14:textId="6FF26E12" w:rsidR="006C783C" w:rsidRPr="00386248" w:rsidRDefault="006C783C" w:rsidP="006C7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данным Росстата,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исленность занятых в строительстве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ЖКХ 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="00FF719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составляла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около 9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,4 млн человек, или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общего количества занятых в экономике. </w:t>
      </w:r>
    </w:p>
    <w:p w14:paraId="2B7048D4" w14:textId="06664546" w:rsidR="005031F9" w:rsidRDefault="006C783C" w:rsidP="005031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троительная отрасль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развитие практически всех отраслей экономики Российской Федерации, выполнив 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>, по виду деятельности «Строительство» в 201</w:t>
      </w:r>
      <w:r w:rsidR="00FF719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 году,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объеме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19B">
        <w:rPr>
          <w:rFonts w:ascii="Times New Roman" w:hAnsi="Times New Roman" w:cs="Times New Roman"/>
          <w:sz w:val="28"/>
          <w:szCs w:val="28"/>
          <w:lang w:eastAsia="ru-RU"/>
        </w:rPr>
        <w:t>9132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71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 xml:space="preserve"> млрд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386248">
        <w:rPr>
          <w:rFonts w:ascii="Times New Roman" w:hAnsi="Times New Roman" w:cs="Times New Roman"/>
          <w:sz w:val="28"/>
          <w:szCs w:val="28"/>
          <w:lang w:eastAsia="ru-RU"/>
        </w:rPr>
        <w:t>текущих ценах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1F9" w:rsidRPr="005031F9">
        <w:rPr>
          <w:rFonts w:ascii="Times New Roman" w:hAnsi="Times New Roman" w:cs="Times New Roman"/>
          <w:sz w:val="28"/>
          <w:szCs w:val="28"/>
          <w:lang w:eastAsia="ru-RU"/>
        </w:rPr>
        <w:t>Годовой объем строительной отрасли, ЖКХ и промышленности строительных материалов в 2019 году составил около 16 трлн руб. (14,5% от ВВП), в том числе: строительство (без полного учета Росстатом данных по ИЖС и отделочным работам) – 9,13 трлн руб. (8,3 %), ЖКХ – 5,4 трлн руб. (4,9 %), стройматериалы – около 1,6 трлн руб.(1,3%).</w:t>
      </w:r>
    </w:p>
    <w:p w14:paraId="25D03E06" w14:textId="51B1C5AC" w:rsidR="00165DE6" w:rsidRDefault="006C783C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этом жилищное строительство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которое в 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36B9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 xml:space="preserve">было израсходовано 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около 5 трлн. рублей, финансируется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счет средств населения на 97%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ЖКХ, на которое 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>было из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>овано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 в год 5,4 трлн. рублей, также финансируется за счет </w:t>
      </w:r>
      <w:r w:rsidR="00416C3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86%. </w:t>
      </w:r>
      <w:r w:rsidR="00936B9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031F9">
        <w:rPr>
          <w:rFonts w:ascii="Times New Roman" w:hAnsi="Times New Roman" w:cs="Times New Roman"/>
          <w:sz w:val="28"/>
          <w:szCs w:val="28"/>
          <w:lang w:eastAsia="ru-RU"/>
        </w:rPr>
        <w:t xml:space="preserve">асходы бюджетов всех уровней на строительство или приобретение жилья 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>и частичную оплату услуг ЖКХ составляют около 8%</w:t>
      </w:r>
      <w:r w:rsidR="00936B9B">
        <w:rPr>
          <w:rFonts w:ascii="Times New Roman" w:hAnsi="Times New Roman" w:cs="Times New Roman"/>
          <w:sz w:val="28"/>
          <w:szCs w:val="28"/>
          <w:lang w:eastAsia="ru-RU"/>
        </w:rPr>
        <w:t xml:space="preserve"> от общих расходов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 xml:space="preserve">. То есть финансовая поддержка бюджетов всех уровней позволяет на каждый затраченный 1 рубль привлечь средства населения на </w:t>
      </w:r>
      <w:r w:rsidR="00C80D51">
        <w:rPr>
          <w:rFonts w:ascii="Times New Roman" w:hAnsi="Times New Roman" w:cs="Times New Roman"/>
          <w:sz w:val="28"/>
          <w:szCs w:val="28"/>
          <w:lang w:eastAsia="ru-RU"/>
        </w:rPr>
        <w:t>10-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80D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65DE6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783B211C" w14:textId="534EE9F0" w:rsidR="005031F9" w:rsidRDefault="00936B9B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строительство жилья и функционирование ЖКХ являлись «локомотивом» экономики страны, обеспечивая высокий мультипликативный эффект 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>привлекая дополнительные средства населения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рынка земли для жилищного строительства и сети внутрипоселковых дорог, 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>производств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 xml:space="preserve">и монтаж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коммунального оборудования, включая автономные системы, </w:t>
      </w:r>
      <w:r w:rsidR="00425FE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>рост объемов производства строительных материалов, изделий и конструкций, продаж мебели, бытовой техники, текстиля</w:t>
      </w:r>
      <w:r w:rsidR="00C80D5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домашней утвар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5FE9" w:rsidRPr="00425F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C70093" w14:textId="285BFFF1" w:rsidR="005031F9" w:rsidRDefault="00425FE9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ромышленное и сельскохозяйственное строительство финансируется в основном за счет частных предприятий с 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>бюджетной поддержкой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инфраструктурном и социальном строительстве в основном используются бюджетные инвестиции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Совокупная доля использования бюджетных инвестиций в деятельности строительной отрасли и ЖКХ </w:t>
      </w:r>
      <w:r w:rsidR="00A3617A">
        <w:rPr>
          <w:rFonts w:ascii="Times New Roman" w:hAnsi="Times New Roman" w:cs="Times New Roman"/>
          <w:sz w:val="28"/>
          <w:szCs w:val="28"/>
          <w:lang w:eastAsia="ru-RU"/>
        </w:rPr>
        <w:t>составляет в последние годы от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="00A3617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6C783C">
        <w:rPr>
          <w:rFonts w:ascii="Times New Roman" w:hAnsi="Times New Roman" w:cs="Times New Roman"/>
          <w:sz w:val="28"/>
          <w:szCs w:val="28"/>
          <w:lang w:eastAsia="ru-RU"/>
        </w:rPr>
        <w:t xml:space="preserve">20%. </w:t>
      </w:r>
    </w:p>
    <w:p w14:paraId="587F196A" w14:textId="77777777" w:rsidR="009C4C3D" w:rsidRPr="009C4C3D" w:rsidRDefault="009C4C3D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4203D06" w14:textId="77777777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29A">
        <w:rPr>
          <w:rFonts w:ascii="Times New Roman" w:hAnsi="Times New Roman" w:cs="Times New Roman"/>
          <w:b/>
          <w:bCs/>
          <w:sz w:val="28"/>
          <w:szCs w:val="28"/>
        </w:rPr>
        <w:t xml:space="preserve">Риски реализации Стратегии </w:t>
      </w:r>
    </w:p>
    <w:p w14:paraId="03D1CD39" w14:textId="77777777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>Достижению поставленных стратегических целей и выполнению задач Стратегии могут препятствовать следующие группы рисков:</w:t>
      </w:r>
    </w:p>
    <w:p w14:paraId="22BAC678" w14:textId="6A1A1D54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макроэкономические;</w:t>
      </w:r>
    </w:p>
    <w:p w14:paraId="725CBD5C" w14:textId="14B4DB00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риски нормативного и административного характера;</w:t>
      </w:r>
    </w:p>
    <w:p w14:paraId="6AD97578" w14:textId="7AF06B62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кадровые и управленческие риски;</w:t>
      </w:r>
    </w:p>
    <w:p w14:paraId="337C70F5" w14:textId="4103A3B8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риски технологической перестройки;</w:t>
      </w:r>
    </w:p>
    <w:p w14:paraId="4806444A" w14:textId="3BF87ED0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градостроительные риски и риски, связанные с территориальным планированием.</w:t>
      </w:r>
    </w:p>
    <w:p w14:paraId="3376AA31" w14:textId="7AE65D55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 xml:space="preserve">1) Макроэкономические риски предполагают </w:t>
      </w:r>
      <w:r w:rsidR="0012272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14029A">
        <w:rPr>
          <w:rFonts w:ascii="Times New Roman" w:hAnsi="Times New Roman" w:cs="Times New Roman"/>
          <w:sz w:val="28"/>
          <w:szCs w:val="28"/>
        </w:rPr>
        <w:t>ухудшени</w:t>
      </w:r>
      <w:r w:rsidR="00122724">
        <w:rPr>
          <w:rFonts w:ascii="Times New Roman" w:hAnsi="Times New Roman" w:cs="Times New Roman"/>
          <w:sz w:val="28"/>
          <w:szCs w:val="28"/>
        </w:rPr>
        <w:t>я</w:t>
      </w:r>
      <w:r w:rsidRPr="0014029A">
        <w:rPr>
          <w:rFonts w:ascii="Times New Roman" w:hAnsi="Times New Roman" w:cs="Times New Roman"/>
          <w:sz w:val="28"/>
          <w:szCs w:val="28"/>
        </w:rPr>
        <w:t xml:space="preserve"> внешних условий функционирования строительной отрасли, что негативно скажется на динамик</w:t>
      </w:r>
      <w:r w:rsidR="00122724">
        <w:rPr>
          <w:rFonts w:ascii="Times New Roman" w:hAnsi="Times New Roman" w:cs="Times New Roman"/>
          <w:sz w:val="28"/>
          <w:szCs w:val="28"/>
        </w:rPr>
        <w:t>е</w:t>
      </w:r>
      <w:r w:rsidRPr="0014029A">
        <w:rPr>
          <w:rFonts w:ascii="Times New Roman" w:hAnsi="Times New Roman" w:cs="Times New Roman"/>
          <w:sz w:val="28"/>
          <w:szCs w:val="28"/>
        </w:rPr>
        <w:t xml:space="preserve"> спроса со стороны населения на жилье и инвестиционного спроса, а также на стоимости строительных работ, в результате чего целевые значения по объемам ввода жилья, обеспеченности населения жильем, инвестиций в здания и сооружения, строительных работ и другим показателям не будут достигнуты. Макроэкономические риски включают:</w:t>
      </w:r>
    </w:p>
    <w:p w14:paraId="6A6BF570" w14:textId="2338C4F6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низкие темпы экономического роста или спад экономики, а также сильную дифференциацию экономического роста в зависимости от размера населенного пункта и региона;</w:t>
      </w:r>
    </w:p>
    <w:p w14:paraId="4AB3A925" w14:textId="203D0367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ухудшение динамики доходов населения, что негативно повлияет на потребительский спрос;</w:t>
      </w:r>
    </w:p>
    <w:p w14:paraId="696CDA03" w14:textId="58957F6F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процентные риски, связанные с неблагоприятной динамикой процентных ставок в </w:t>
      </w:r>
      <w:r w:rsidR="00B33A6D" w:rsidRPr="00F91769">
        <w:rPr>
          <w:rFonts w:ascii="Times New Roman" w:hAnsi="Times New Roman" w:cs="Times New Roman"/>
          <w:sz w:val="28"/>
          <w:szCs w:val="28"/>
        </w:rPr>
        <w:t xml:space="preserve">банковской сфере </w:t>
      </w:r>
      <w:r w:rsidR="0014029A" w:rsidRPr="00F91769">
        <w:rPr>
          <w:rFonts w:ascii="Times New Roman" w:hAnsi="Times New Roman" w:cs="Times New Roman"/>
          <w:sz w:val="28"/>
          <w:szCs w:val="28"/>
        </w:rPr>
        <w:t>экономик</w:t>
      </w:r>
      <w:r w:rsidR="00B33A6D" w:rsidRPr="00F91769">
        <w:rPr>
          <w:rFonts w:ascii="Times New Roman" w:hAnsi="Times New Roman" w:cs="Times New Roman"/>
          <w:sz w:val="28"/>
          <w:szCs w:val="28"/>
        </w:rPr>
        <w:t>и</w:t>
      </w:r>
      <w:r w:rsidR="0014029A" w:rsidRPr="00F91769">
        <w:rPr>
          <w:rFonts w:ascii="Times New Roman" w:hAnsi="Times New Roman" w:cs="Times New Roman"/>
          <w:sz w:val="28"/>
          <w:szCs w:val="28"/>
        </w:rPr>
        <w:t>, что может снизить доступность заемного финансирования для строительных компаний, а также доступность ипотечных кредитов для населения;</w:t>
      </w:r>
    </w:p>
    <w:p w14:paraId="37116472" w14:textId="33F3244E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инфляционные риски, </w:t>
      </w:r>
      <w:r w:rsidR="00833BFF">
        <w:rPr>
          <w:rFonts w:ascii="Times New Roman" w:hAnsi="Times New Roman" w:cs="Times New Roman"/>
          <w:sz w:val="28"/>
          <w:szCs w:val="28"/>
        </w:rPr>
        <w:t>что может привести к</w:t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 рост</w:t>
      </w:r>
      <w:r w:rsidR="00833BFF">
        <w:rPr>
          <w:rFonts w:ascii="Times New Roman" w:hAnsi="Times New Roman" w:cs="Times New Roman"/>
          <w:sz w:val="28"/>
          <w:szCs w:val="28"/>
        </w:rPr>
        <w:t>у</w:t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="00B33A6D" w:rsidRPr="00F91769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на энергоресурсы </w:t>
      </w:r>
      <w:r w:rsidR="00B33A6D" w:rsidRPr="00F91769">
        <w:rPr>
          <w:rFonts w:ascii="Times New Roman" w:hAnsi="Times New Roman" w:cs="Times New Roman"/>
          <w:sz w:val="28"/>
          <w:szCs w:val="28"/>
        </w:rPr>
        <w:t xml:space="preserve">и строительные материалы </w:t>
      </w:r>
      <w:r w:rsidR="0014029A" w:rsidRPr="00F91769">
        <w:rPr>
          <w:rFonts w:ascii="Times New Roman" w:hAnsi="Times New Roman" w:cs="Times New Roman"/>
          <w:sz w:val="28"/>
          <w:szCs w:val="28"/>
        </w:rPr>
        <w:t>в структуре цены реализации.</w:t>
      </w:r>
    </w:p>
    <w:p w14:paraId="31473997" w14:textId="11C4A54C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>2) Риски нормативного и административного характера в случае их реализации не позволят достичь цели по сокращению сроков прохождения административных процедур. В частности, риски нормативного и административного характера включают:</w:t>
      </w:r>
    </w:p>
    <w:p w14:paraId="147916F9" w14:textId="272F5389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опережающее по сравнению с технологическими и кадровыми возможностями отрасли развитие нормативно-правов</w:t>
      </w:r>
      <w:r w:rsidR="00B33A6D" w:rsidRPr="00F91769">
        <w:rPr>
          <w:rFonts w:ascii="Times New Roman" w:hAnsi="Times New Roman" w:cs="Times New Roman"/>
          <w:sz w:val="28"/>
          <w:szCs w:val="28"/>
        </w:rPr>
        <w:t>ых</w:t>
      </w:r>
      <w:r w:rsidR="0014029A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="00B33A6D" w:rsidRPr="00F91769">
        <w:rPr>
          <w:rFonts w:ascii="Times New Roman" w:hAnsi="Times New Roman" w:cs="Times New Roman"/>
          <w:sz w:val="28"/>
          <w:szCs w:val="28"/>
        </w:rPr>
        <w:t>ограничений</w:t>
      </w:r>
      <w:r w:rsidR="0014029A" w:rsidRPr="00F91769">
        <w:rPr>
          <w:rFonts w:ascii="Times New Roman" w:hAnsi="Times New Roman" w:cs="Times New Roman"/>
          <w:sz w:val="28"/>
          <w:szCs w:val="28"/>
        </w:rPr>
        <w:t>;</w:t>
      </w:r>
    </w:p>
    <w:p w14:paraId="0472FC04" w14:textId="42B042D2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несовершенство текущих законодательных механизмов в части жилищного строительства;</w:t>
      </w:r>
    </w:p>
    <w:p w14:paraId="0D5F3D41" w14:textId="17E662CC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неэффективность взаимодействия со смежными профильными федеральными органами исполнительной власти при подготовке изменений в нормативные правовые акты, в том числе в части изменения (упрощения) процедур, преобладание локальных ведомственных интересов.</w:t>
      </w:r>
    </w:p>
    <w:p w14:paraId="19BD95AC" w14:textId="7FD5298B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>3) Кадровые и управленческие риски заключаются в расширении дефицита квалифицированных кадров в строительной отрасли</w:t>
      </w:r>
      <w:r w:rsidR="00B33A6D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4029A">
        <w:rPr>
          <w:rFonts w:ascii="Times New Roman" w:hAnsi="Times New Roman" w:cs="Times New Roman"/>
          <w:sz w:val="28"/>
          <w:szCs w:val="28"/>
        </w:rPr>
        <w:t>, что не позволит достичь целей Стратегии практически по всем направлениям, в том числе цифровизации отрасли, внедрению инноваций и повышению научного потенциала, совершенствованию регулирования. В частности, кадровые и управленческие риски включают:</w:t>
      </w:r>
    </w:p>
    <w:p w14:paraId="19239DA9" w14:textId="026958CA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отставание квалификации кадров от потребностей отрасли и возможностей, которые могут возникнуть вследствие опережающего развития нормативно-правовой базы;</w:t>
      </w:r>
    </w:p>
    <w:p w14:paraId="06641C63" w14:textId="61525F9A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дефицит кадров в отраслевой науке, низкую техническую оснащенность, слабое финансирование отраслевых научных институтов;</w:t>
      </w:r>
    </w:p>
    <w:p w14:paraId="49A1BA16" w14:textId="4F4F337E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дефицит квалифицированных кадров в области архитектурно-строительного проектирования, строительства и у заказчиков и эксплуатирующих организаций;</w:t>
      </w:r>
    </w:p>
    <w:p w14:paraId="40B47B61" w14:textId="7D58E794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методологическую несостоятельность оценки влияния технологических изменений в строительстве и миграционных процессов всех видов на отраслевой рынок труда.</w:t>
      </w:r>
    </w:p>
    <w:p w14:paraId="579DDFF4" w14:textId="474D787E" w:rsidR="0014029A" w:rsidRPr="00F91769" w:rsidRDefault="0014029A" w:rsidP="00833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>4) Риски технологической перестройки в случае их реализации в первую очередь будут препятствовать достижению целей по цифровизации строительной отрасли и по другим ключевым направлениям</w:t>
      </w:r>
      <w:r w:rsidR="00833BFF">
        <w:rPr>
          <w:rFonts w:ascii="Times New Roman" w:hAnsi="Times New Roman" w:cs="Times New Roman"/>
          <w:sz w:val="28"/>
          <w:szCs w:val="28"/>
        </w:rPr>
        <w:t>.</w:t>
      </w:r>
      <w:r w:rsidRPr="00140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58A53" w14:textId="77777777" w:rsidR="0014029A" w:rsidRPr="0014029A" w:rsidRDefault="0014029A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A">
        <w:rPr>
          <w:rFonts w:ascii="Times New Roman" w:hAnsi="Times New Roman" w:cs="Times New Roman"/>
          <w:sz w:val="28"/>
          <w:szCs w:val="28"/>
        </w:rPr>
        <w:t>5) Риски недостатка ресурсного обеспечения:</w:t>
      </w:r>
    </w:p>
    <w:p w14:paraId="0FB88791" w14:textId="6D997545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недофинансирование программ со стороны государства;</w:t>
      </w:r>
    </w:p>
    <w:p w14:paraId="63161511" w14:textId="6C635C3B" w:rsidR="0014029A" w:rsidRPr="00F91769" w:rsidRDefault="00F91769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F91769">
        <w:rPr>
          <w:rFonts w:ascii="Times New Roman" w:hAnsi="Times New Roman" w:cs="Times New Roman"/>
          <w:sz w:val="28"/>
          <w:szCs w:val="28"/>
        </w:rPr>
        <w:t>недостаточная пропускная способность транспортной инфраструктуры для своевременного обеспечения строительных площадок материально-техническими ресурсами</w:t>
      </w:r>
      <w:r w:rsidR="00C375FC" w:rsidRPr="00F91769">
        <w:rPr>
          <w:rFonts w:ascii="Times New Roman" w:hAnsi="Times New Roman" w:cs="Times New Roman"/>
          <w:sz w:val="28"/>
          <w:szCs w:val="28"/>
        </w:rPr>
        <w:t>.</w:t>
      </w:r>
    </w:p>
    <w:p w14:paraId="7F4D42DA" w14:textId="6AFE50EC" w:rsidR="0014029A" w:rsidRDefault="00833BFF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4029A" w:rsidRPr="0014029A">
        <w:rPr>
          <w:rFonts w:ascii="Times New Roman" w:hAnsi="Times New Roman" w:cs="Times New Roman"/>
          <w:sz w:val="28"/>
          <w:szCs w:val="28"/>
        </w:rPr>
        <w:t>) Градостроительные риски и риски, связанные с территориальным планированием, заключаются в сохранении текущих проблем существующей системы территориального планирования и градостроительной подготовки территории, которые препятствуют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4029A" w:rsidRPr="0014029A">
        <w:rPr>
          <w:rFonts w:ascii="Times New Roman" w:hAnsi="Times New Roman" w:cs="Times New Roman"/>
          <w:sz w:val="28"/>
          <w:szCs w:val="28"/>
        </w:rPr>
        <w:t xml:space="preserve"> качества среды жизнедеятельности граждан. Градостроительные риски и риски, связанные с территориальным планированием, включают:</w:t>
      </w:r>
    </w:p>
    <w:p w14:paraId="512432D8" w14:textId="78BCBF58" w:rsidR="00B33A6D" w:rsidRPr="0014029A" w:rsidRDefault="00B33A6D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сохранение ограничений градостроительного законодательства по 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>возможности последовательн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методичного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воздействи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и субъектов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 xml:space="preserve">гармоничное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системы расселения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на всей территории страны путем введения понятия «градостроительные зоны развития</w:t>
      </w:r>
      <w:r w:rsidR="007212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117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D5E2D09" w14:textId="5191E417" w:rsidR="0014029A" w:rsidRPr="00B33A6D" w:rsidRDefault="00B33A6D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B33A6D">
        <w:rPr>
          <w:rFonts w:ascii="Times New Roman" w:hAnsi="Times New Roman" w:cs="Times New Roman"/>
          <w:sz w:val="28"/>
          <w:szCs w:val="28"/>
        </w:rPr>
        <w:t>высокий уровень износа основных городских систем жизнеобеспечения (ЖКХ, транспорт, общественная, социальная инфраструктура и иное), что может стать существенным ограничением для ускорения темпов роста строительства;</w:t>
      </w:r>
    </w:p>
    <w:p w14:paraId="20F2BEB0" w14:textId="66FB9BDB" w:rsidR="0014029A" w:rsidRPr="00B33A6D" w:rsidRDefault="00B33A6D" w:rsidP="00122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E9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029A" w:rsidRPr="00B33A6D">
        <w:rPr>
          <w:rFonts w:ascii="Times New Roman" w:hAnsi="Times New Roman" w:cs="Times New Roman"/>
          <w:sz w:val="28"/>
          <w:szCs w:val="28"/>
        </w:rPr>
        <w:t>несогласованность и отсутствие обоснованности в документах территориального планирования и документах градостроительного зонирования</w:t>
      </w:r>
      <w:r w:rsidR="0051170A">
        <w:rPr>
          <w:rFonts w:ascii="Times New Roman" w:hAnsi="Times New Roman" w:cs="Times New Roman"/>
          <w:sz w:val="28"/>
          <w:szCs w:val="28"/>
        </w:rPr>
        <w:t xml:space="preserve"> с</w:t>
      </w:r>
      <w:r w:rsidR="00F91769">
        <w:rPr>
          <w:lang w:eastAsia="ru-RU"/>
        </w:rPr>
        <w:t xml:space="preserve"> </w:t>
      </w:r>
      <w:r w:rsidR="00F91769" w:rsidRPr="00F91769">
        <w:rPr>
          <w:rFonts w:ascii="Times New Roman" w:hAnsi="Times New Roman" w:cs="Times New Roman"/>
          <w:sz w:val="28"/>
          <w:szCs w:val="28"/>
          <w:lang w:eastAsia="ru-RU"/>
        </w:rPr>
        <w:t>размещением строительства жилой застройки, социальных объектов, объектов бизнеса, территорий для парковки личных автомобилей граждан, рекреационных пространств, транспортных магистралей в сочетании с планированием размещения и развития объектов и сетей коммунальных систем для всех ОКС</w:t>
      </w:r>
      <w:r w:rsidR="0014029A" w:rsidRPr="00F91769">
        <w:rPr>
          <w:rFonts w:ascii="Times New Roman" w:hAnsi="Times New Roman" w:cs="Times New Roman"/>
          <w:sz w:val="28"/>
          <w:szCs w:val="28"/>
        </w:rPr>
        <w:t>.</w:t>
      </w:r>
    </w:p>
    <w:p w14:paraId="74CABC75" w14:textId="77777777" w:rsidR="009C4C3D" w:rsidRPr="009C4C3D" w:rsidRDefault="009C4C3D" w:rsidP="0012272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C018E6" w14:textId="23C9BAA5" w:rsidR="00534735" w:rsidRPr="00534735" w:rsidRDefault="00534735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735">
        <w:rPr>
          <w:rFonts w:ascii="Times New Roman" w:hAnsi="Times New Roman" w:cs="Times New Roman"/>
          <w:b/>
          <w:bCs/>
          <w:sz w:val="28"/>
          <w:szCs w:val="28"/>
        </w:rPr>
        <w:t>5. Оценка влияния предлагаемых решений на деятельность органов государственной власти субъектов Российской Федерации и (или) органов местного самоуправления</w:t>
      </w:r>
    </w:p>
    <w:p w14:paraId="0498E564" w14:textId="77777777" w:rsidR="006D4A93" w:rsidRPr="006D4A93" w:rsidRDefault="006D4A93" w:rsidP="001227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правового регулирования градостроительства существуют противоречия между нормами статьи 72 Конституции Российской Федерации по совместному ведению Российской Федерации и субъектов федерации по реализации жилищной и земельной политики и Градостроительного кодекса Российской Федерации, относящего к исключительным полномочиям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образований реализацию жилищной и земельной политики при градостроительном регулировании застройки. При этом ни Российская Федерация, ни субъекты федерации, если они не финансируют строительство конкретного объекта, не вправе влиять на эту деятельность муниципалитетов. </w:t>
      </w:r>
    </w:p>
    <w:p w14:paraId="78EDBAE0" w14:textId="6D3300E4" w:rsidR="00131885" w:rsidRDefault="006D4A93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строительной отрасли </w:t>
      </w:r>
      <w:r w:rsidRPr="00735727">
        <w:rPr>
          <w:rFonts w:ascii="Times New Roman" w:hAnsi="Times New Roman" w:cs="Times New Roman"/>
          <w:snapToGrid w:val="0"/>
          <w:sz w:val="28"/>
          <w:szCs w:val="28"/>
        </w:rPr>
        <w:t>и жилищно-коммунального хозяйства</w:t>
      </w:r>
      <w:r w:rsidRPr="0073572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до 2035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в</w:t>
      </w:r>
      <w:r w:rsidR="003D39C9">
        <w:rPr>
          <w:rFonts w:ascii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>в Градостроительный кодекс Российской Федерации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 «градостроительные зоны развития»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>в схем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территориального планирования Российской Федерации в области расселения,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территориального планирования субъектов Российской Федерации в области расселения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так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4A9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объектов магистральной транспортной, энергетической, инженерной и иной инфраструктуры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19AB7C2" w14:textId="55BC390B" w:rsidR="00131885" w:rsidRDefault="00131885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градостроительных решений по развитию комплексной малоэтажной жилой застройки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градостроительных зонах развития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учетом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социальной сферы, инженерной, коммунальной и транспортной инфраструктуры,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позволит Российской Федерации, а также субъектам федерации деятельно влиять на процессы выделения земель, а 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последующем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позволит 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>сокра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тить требования и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31885">
        <w:rPr>
          <w:rFonts w:ascii="Times New Roman" w:hAnsi="Times New Roman" w:cs="Times New Roman"/>
          <w:sz w:val="28"/>
          <w:szCs w:val="28"/>
          <w:lang w:eastAsia="ru-RU"/>
        </w:rPr>
        <w:t xml:space="preserve"> излишней градостроительной документации для первичных муниципальных образований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703E6C" w14:textId="77777777" w:rsidR="00534735" w:rsidRPr="00534735" w:rsidRDefault="00534735" w:rsidP="00122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34735" w:rsidRPr="00534735" w:rsidSect="00D26BA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B7B4C" w14:textId="77777777" w:rsidR="00BE104C" w:rsidRDefault="00BE104C" w:rsidP="00D26BAA">
      <w:pPr>
        <w:spacing w:after="0" w:line="240" w:lineRule="auto"/>
      </w:pPr>
      <w:r>
        <w:separator/>
      </w:r>
    </w:p>
  </w:endnote>
  <w:endnote w:type="continuationSeparator" w:id="0">
    <w:p w14:paraId="3A229DFF" w14:textId="77777777" w:rsidR="00BE104C" w:rsidRDefault="00BE104C" w:rsidP="00D2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E50BE" w14:textId="77777777" w:rsidR="00BE104C" w:rsidRDefault="00BE104C" w:rsidP="00D26BAA">
      <w:pPr>
        <w:spacing w:after="0" w:line="240" w:lineRule="auto"/>
      </w:pPr>
      <w:r>
        <w:separator/>
      </w:r>
    </w:p>
  </w:footnote>
  <w:footnote w:type="continuationSeparator" w:id="0">
    <w:p w14:paraId="5ED7055B" w14:textId="77777777" w:rsidR="00BE104C" w:rsidRDefault="00BE104C" w:rsidP="00D2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379406415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0FCDC9EB" w14:textId="63BF5B38" w:rsidR="00D26BAA" w:rsidRDefault="00D26BAA" w:rsidP="009A3A28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378F19E" w14:textId="77777777" w:rsidR="00D26BAA" w:rsidRDefault="00D26B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87394609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3BA4284F" w14:textId="0AF7075E" w:rsidR="00D26BAA" w:rsidRDefault="00D26BAA" w:rsidP="009A3A28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33BFF">
          <w:rPr>
            <w:rStyle w:val="ae"/>
            <w:noProof/>
          </w:rPr>
          <w:t>11</w:t>
        </w:r>
        <w:r>
          <w:rPr>
            <w:rStyle w:val="ae"/>
          </w:rPr>
          <w:fldChar w:fldCharType="end"/>
        </w:r>
      </w:p>
    </w:sdtContent>
  </w:sdt>
  <w:p w14:paraId="2CADB031" w14:textId="77777777" w:rsidR="00D26BAA" w:rsidRDefault="00D26B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739C"/>
    <w:multiLevelType w:val="hybridMultilevel"/>
    <w:tmpl w:val="EBD4BB70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13941"/>
    <w:multiLevelType w:val="multilevel"/>
    <w:tmpl w:val="99B08522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abstractNum w:abstractNumId="2" w15:restartNumberingAfterBreak="0">
    <w:nsid w:val="16E75853"/>
    <w:multiLevelType w:val="hybridMultilevel"/>
    <w:tmpl w:val="4BB6E74E"/>
    <w:lvl w:ilvl="0" w:tplc="15304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EE"/>
    <w:multiLevelType w:val="multilevel"/>
    <w:tmpl w:val="09E4F5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EB143A"/>
    <w:multiLevelType w:val="hybridMultilevel"/>
    <w:tmpl w:val="42320282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FF7657D"/>
    <w:multiLevelType w:val="hybridMultilevel"/>
    <w:tmpl w:val="68FC1E9C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06D0564"/>
    <w:multiLevelType w:val="hybridMultilevel"/>
    <w:tmpl w:val="DFF2E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822756"/>
    <w:multiLevelType w:val="hybridMultilevel"/>
    <w:tmpl w:val="A74236FA"/>
    <w:lvl w:ilvl="0" w:tplc="15304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2377B"/>
    <w:multiLevelType w:val="multilevel"/>
    <w:tmpl w:val="9BCA2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3BB055E"/>
    <w:multiLevelType w:val="hybridMultilevel"/>
    <w:tmpl w:val="1CD8FBD4"/>
    <w:lvl w:ilvl="0" w:tplc="F6F8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162E68"/>
    <w:multiLevelType w:val="hybridMultilevel"/>
    <w:tmpl w:val="1E2E2AD6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CD75032"/>
    <w:multiLevelType w:val="hybridMultilevel"/>
    <w:tmpl w:val="A88A541C"/>
    <w:lvl w:ilvl="0" w:tplc="F6F827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9B4EC8"/>
    <w:multiLevelType w:val="hybridMultilevel"/>
    <w:tmpl w:val="1924BD92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F181343"/>
    <w:multiLevelType w:val="hybridMultilevel"/>
    <w:tmpl w:val="2CAAF114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50"/>
    <w:rsid w:val="000210FF"/>
    <w:rsid w:val="00026C36"/>
    <w:rsid w:val="0005270B"/>
    <w:rsid w:val="00054994"/>
    <w:rsid w:val="000A28EA"/>
    <w:rsid w:val="000C5D5D"/>
    <w:rsid w:val="000F1DC8"/>
    <w:rsid w:val="00105F34"/>
    <w:rsid w:val="00112C1A"/>
    <w:rsid w:val="00114203"/>
    <w:rsid w:val="00121FC2"/>
    <w:rsid w:val="00122724"/>
    <w:rsid w:val="0012432B"/>
    <w:rsid w:val="00131885"/>
    <w:rsid w:val="001377D0"/>
    <w:rsid w:val="0014029A"/>
    <w:rsid w:val="00160544"/>
    <w:rsid w:val="00165DE6"/>
    <w:rsid w:val="001873B0"/>
    <w:rsid w:val="001A7B49"/>
    <w:rsid w:val="001D6EB4"/>
    <w:rsid w:val="00233F8A"/>
    <w:rsid w:val="002C3B2B"/>
    <w:rsid w:val="003047EB"/>
    <w:rsid w:val="00306360"/>
    <w:rsid w:val="00320FDE"/>
    <w:rsid w:val="0035145D"/>
    <w:rsid w:val="00371070"/>
    <w:rsid w:val="00384C00"/>
    <w:rsid w:val="00386248"/>
    <w:rsid w:val="003D39C9"/>
    <w:rsid w:val="00401336"/>
    <w:rsid w:val="00402E68"/>
    <w:rsid w:val="00416C32"/>
    <w:rsid w:val="00425FE9"/>
    <w:rsid w:val="004644E5"/>
    <w:rsid w:val="00464EE4"/>
    <w:rsid w:val="004861E4"/>
    <w:rsid w:val="004B3102"/>
    <w:rsid w:val="004B525D"/>
    <w:rsid w:val="005031F9"/>
    <w:rsid w:val="0051170A"/>
    <w:rsid w:val="00527310"/>
    <w:rsid w:val="00534735"/>
    <w:rsid w:val="00535876"/>
    <w:rsid w:val="00560F2A"/>
    <w:rsid w:val="00583CE8"/>
    <w:rsid w:val="00637735"/>
    <w:rsid w:val="00637F08"/>
    <w:rsid w:val="006771FF"/>
    <w:rsid w:val="006C783C"/>
    <w:rsid w:val="006D4A93"/>
    <w:rsid w:val="00707D7B"/>
    <w:rsid w:val="007212F0"/>
    <w:rsid w:val="00730A43"/>
    <w:rsid w:val="00735727"/>
    <w:rsid w:val="00786B3F"/>
    <w:rsid w:val="007B23C2"/>
    <w:rsid w:val="007E3D7F"/>
    <w:rsid w:val="007F6BC0"/>
    <w:rsid w:val="00801E52"/>
    <w:rsid w:val="00804F0C"/>
    <w:rsid w:val="00833BFF"/>
    <w:rsid w:val="008C5CC6"/>
    <w:rsid w:val="008D4F68"/>
    <w:rsid w:val="00915D4C"/>
    <w:rsid w:val="00936B9B"/>
    <w:rsid w:val="00945D8A"/>
    <w:rsid w:val="00963443"/>
    <w:rsid w:val="0096522A"/>
    <w:rsid w:val="009C4C3D"/>
    <w:rsid w:val="00A3617A"/>
    <w:rsid w:val="00A7562E"/>
    <w:rsid w:val="00A83B0E"/>
    <w:rsid w:val="00A946E1"/>
    <w:rsid w:val="00AB1D50"/>
    <w:rsid w:val="00B20F5C"/>
    <w:rsid w:val="00B261A8"/>
    <w:rsid w:val="00B33A6D"/>
    <w:rsid w:val="00B6310B"/>
    <w:rsid w:val="00BE104C"/>
    <w:rsid w:val="00BF73CA"/>
    <w:rsid w:val="00C20E6D"/>
    <w:rsid w:val="00C22AF9"/>
    <w:rsid w:val="00C375FC"/>
    <w:rsid w:val="00C54343"/>
    <w:rsid w:val="00C57853"/>
    <w:rsid w:val="00C80D51"/>
    <w:rsid w:val="00CF415D"/>
    <w:rsid w:val="00CF5121"/>
    <w:rsid w:val="00D04AB8"/>
    <w:rsid w:val="00D26BAA"/>
    <w:rsid w:val="00D3153E"/>
    <w:rsid w:val="00D72CF2"/>
    <w:rsid w:val="00DA0DF1"/>
    <w:rsid w:val="00E117A3"/>
    <w:rsid w:val="00E5065A"/>
    <w:rsid w:val="00E71064"/>
    <w:rsid w:val="00EE25FC"/>
    <w:rsid w:val="00EF1F8A"/>
    <w:rsid w:val="00F40B75"/>
    <w:rsid w:val="00F53A8E"/>
    <w:rsid w:val="00F91769"/>
    <w:rsid w:val="00FC7AE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ED19"/>
  <w15:docId w15:val="{C73C4488-2216-5C48-A931-DB100EE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29A"/>
    <w:pPr>
      <w:keepNext/>
      <w:widowControl w:val="0"/>
      <w:spacing w:before="480" w:after="240" w:line="240" w:lineRule="auto"/>
      <w:jc w:val="center"/>
      <w:outlineLvl w:val="0"/>
    </w:pPr>
    <w:rPr>
      <w:rFonts w:ascii="Times New Roman" w:eastAsia="Times New Roman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34735"/>
    <w:pPr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34735"/>
    <w:rPr>
      <w:rFonts w:ascii="Times New Roman" w:eastAsia="Times New Roman" w:hAnsi="Times New Roman" w:cs="Times New Roman"/>
      <w:b/>
      <w:bCs/>
      <w:kern w:val="1"/>
      <w:sz w:val="28"/>
      <w:szCs w:val="24"/>
      <w:lang w:eastAsia="ru-RU"/>
    </w:rPr>
  </w:style>
  <w:style w:type="paragraph" w:styleId="a5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"/>
    <w:link w:val="a6"/>
    <w:uiPriority w:val="34"/>
    <w:qFormat/>
    <w:rsid w:val="00534735"/>
    <w:pPr>
      <w:ind w:left="720"/>
      <w:contextualSpacing/>
    </w:pPr>
  </w:style>
  <w:style w:type="character" w:styleId="a7">
    <w:name w:val="footnote reference"/>
    <w:aliases w:val="Знак сноски 1,Знак сноски-FN,Ciae niinee-FN,Referencia nota al pie,Ссылка на сноску 45,Appel note de bas de page,Footnote symbol,Footnotes refss,Fussnota,сноска,vnv,16 Point,Superscript 6 Point,Odwołanie przypisu,SUPERS,зс,Çíàê ñíîñêè-FN"/>
    <w:basedOn w:val="a0"/>
    <w:uiPriority w:val="99"/>
    <w:unhideWhenUsed/>
    <w:rsid w:val="00306360"/>
    <w:rPr>
      <w:vertAlign w:val="superscript"/>
    </w:rPr>
  </w:style>
  <w:style w:type="character" w:customStyle="1" w:styleId="a6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basedOn w:val="a0"/>
    <w:link w:val="a5"/>
    <w:uiPriority w:val="34"/>
    <w:qFormat/>
    <w:rsid w:val="0014029A"/>
  </w:style>
  <w:style w:type="paragraph" w:styleId="a8">
    <w:name w:val="Balloon Text"/>
    <w:basedOn w:val="a"/>
    <w:link w:val="a9"/>
    <w:uiPriority w:val="99"/>
    <w:semiHidden/>
    <w:unhideWhenUsed/>
    <w:rsid w:val="0014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029A"/>
    <w:rPr>
      <w:rFonts w:ascii="Times New Roman" w:eastAsia="Times New Roman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8C5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2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6BAA"/>
  </w:style>
  <w:style w:type="paragraph" w:styleId="ac">
    <w:name w:val="footer"/>
    <w:basedOn w:val="a"/>
    <w:link w:val="ad"/>
    <w:uiPriority w:val="99"/>
    <w:unhideWhenUsed/>
    <w:rsid w:val="00D2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6BAA"/>
  </w:style>
  <w:style w:type="character" w:styleId="ae">
    <w:name w:val="page number"/>
    <w:basedOn w:val="a0"/>
    <w:uiPriority w:val="99"/>
    <w:semiHidden/>
    <w:unhideWhenUsed/>
    <w:rsid w:val="00D2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Анатолий</dc:creator>
  <cp:lastModifiedBy>Анвар Шамузафаров</cp:lastModifiedBy>
  <cp:revision>2</cp:revision>
  <dcterms:created xsi:type="dcterms:W3CDTF">2021-01-10T12:19:00Z</dcterms:created>
  <dcterms:modified xsi:type="dcterms:W3CDTF">2021-01-10T12:19:00Z</dcterms:modified>
</cp:coreProperties>
</file>